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/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2821305</wp:posOffset>
            </wp:positionH>
            <wp:positionV relativeFrom="paragraph">
              <wp:posOffset>119380</wp:posOffset>
            </wp:positionV>
            <wp:extent cx="657225" cy="857250"/>
            <wp:effectExtent l="0" t="0" r="0" b="0"/>
            <wp:wrapNone/>
            <wp:docPr id="1" name="Рисунок 4" descr="E:\_WORK\Doc&amp;cdr\GERB\герб 2020\герб 2020 ЧБ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E:\_WORK\Doc&amp;cdr\GERB\герб 2020\герб 2020 ЧБ 2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_2cfa254a-25c9-4178-b58c-2ff8fd60bb5b"/>
        <w:tblW w:w="7371" w:type="dxa"/>
        <w:jc w:val="left"/>
        <w:tblInd w:w="9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71"/>
      </w:tblGrid>
      <w:tr>
        <w:trPr>
          <w:trHeight w:val="1126" w:hRule="atLeast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98a0245a-fcd7-4c61-9d59-4ce3414be7df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spacing w:lineRule="auto" w:line="240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98a0245a-fcd7-4c61-9d59-4ce3414be7df"/>
        <w:jc w:val="center"/>
        <w:rPr>
          <w:rFonts w:ascii="PT Astra Serif" w:hAnsi="PT Astra Serif"/>
          <w:iCs/>
          <w:sz w:val="28"/>
          <w:szCs w:val="28"/>
        </w:rPr>
      </w:pPr>
      <w:r>
        <w:rPr>
          <w:rFonts w:ascii="PT Astra Serif" w:hAnsi="PT Astra Serif"/>
          <w:iCs/>
          <w:sz w:val="28"/>
          <w:szCs w:val="28"/>
        </w:rPr>
        <w:t>М</w:t>
      </w:r>
      <w:r>
        <w:rPr>
          <w:rFonts w:ascii="PT Astra Serif" w:hAnsi="PT Astra Serif"/>
          <w:iCs/>
          <w:sz w:val="28"/>
          <w:szCs w:val="28"/>
        </w:rPr>
        <w:t>ИНИСТЕРСТВО ТРУДА И СОЦИАЛЬНОЙ ЗАЩИТЫ КУЗБАССА</w:t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/>
          <w:iCs/>
          <w:color w:val="000000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>ПРИКАЗ</w:t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>от _________ № _____</w:t>
      </w:r>
    </w:p>
    <w:p>
      <w:pPr>
        <w:pStyle w:val="Normal98a0245a-fcd7-4c61-9d59-4ce3414be7df"/>
        <w:spacing w:lineRule="auto" w:line="240"/>
        <w:ind w:firstLine="993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Normal98a0245a-fcd7-4c61-9d59-4ce3414be7df"/>
        <w:spacing w:lineRule="auto" w:line="240"/>
        <w:ind w:firstLine="993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Normal4f7442aa-49e4-4881-8f6e-0bcda56d6f1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</w:rPr>
        <w:t>Об утверждении административного регламента</w:t>
      </w:r>
    </w:p>
    <w:p>
      <w:pPr>
        <w:pStyle w:val="Normal4f7442aa-49e4-4881-8f6e-0bcda56d6f18"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/>
          <w:iCs/>
          <w:color w:val="000000"/>
          <w:kern w:val="0"/>
          <w:sz w:val="28"/>
          <w:szCs w:val="28"/>
          <w:lang w:val="ru-RU" w:eastAsia="ru-RU" w:bidi="ar-SA"/>
        </w:rPr>
        <w:t>Министерства труда и социальной защиты Кузбасса по предоставлению государственной услуги «Назначение ежегодной денежной выплаты лицам, награжденным нагрудным знаком «Почетный донор России»</w:t>
      </w:r>
    </w:p>
    <w:p>
      <w:pPr>
        <w:pStyle w:val="Normal4f7442aa-49e4-4881-8f6e-0bcda56d6f18"/>
        <w:ind w:firstLine="709"/>
        <w:rPr>
          <w:rFonts w:ascii="PT Astra Serif" w:hAnsi="PT Astra Serif"/>
          <w:iCs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</w:rPr>
      </w:r>
    </w:p>
    <w:p>
      <w:pPr>
        <w:pStyle w:val="Normal181ce3dc-bb70-4ed9-99d7-8248ae041cff"/>
        <w:spacing w:lineRule="auto" w:line="240"/>
        <w:ind w:firstLine="709"/>
        <w:jc w:val="both"/>
        <w:rPr/>
      </w:pPr>
      <w:r>
        <w:rPr>
          <w:rFonts w:ascii="PT Astra Serif" w:hAnsi="PT Astra Serif"/>
          <w:iCs/>
          <w:color w:val="000000"/>
          <w:sz w:val="28"/>
          <w:szCs w:val="28"/>
        </w:rPr>
        <w:t xml:space="preserve">В соответствии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с Федеральным </w:t>
      </w:r>
      <w:hyperlink r:id="rId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rStyle w:val="Style"/>
            <w:rFonts w:eastAsia="Times New Roman" w:cs="Times New Roman" w:ascii="PT Astra Serif" w:hAnsi="PT Astra Serif"/>
            <w:iCs/>
            <w:color w:val="000000"/>
            <w:kern w:val="0"/>
            <w:sz w:val="28"/>
            <w:szCs w:val="28"/>
            <w:lang w:val="ru-RU" w:eastAsia="ru-RU" w:bidi="ar-SA"/>
          </w:rPr>
          <w:t>законом</w:t>
        </w:r>
      </w:hyperlink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от 27.07.2010 № 210-ФЗ «Об организации предоставления государственных и муниципальных услуг», </w:t>
      </w:r>
      <w:hyperlink r:id="rId4" w:tooltip="Постановление Правительства РФ от 20.07.2021 N 1228 (ред. от 29.12.2025) &quot;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&quot; {КонсультантПлюс}">
        <w:r>
          <w:rPr>
            <w:rStyle w:val="Style"/>
            <w:rFonts w:eastAsia="Times New Roman" w:cs="Times New Roman" w:ascii="PT Astra Serif" w:hAnsi="PT Astra Serif"/>
            <w:iCs/>
            <w:color w:val="000000"/>
            <w:kern w:val="0"/>
            <w:sz w:val="28"/>
            <w:szCs w:val="28"/>
            <w:lang w:val="ru-RU" w:eastAsia="ru-RU" w:bidi="ar-SA"/>
          </w:rPr>
          <w:t>постановлением</w:t>
        </w:r>
      </w:hyperlink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hyperlink r:id="rId5" w:tooltip="Постановление Правительства Кемеровской области - Кузбасса от 15.05.2020 N 290 (ред. от 24.03.2026) &quot;Об утверждении перечня государственных услуг исполнительных органов Кемеровской области - Кузбасса&quot; {КонсультантПлюс}">
        <w:r>
          <w:rPr>
            <w:rStyle w:val="Style"/>
            <w:rFonts w:eastAsia="Times New Roman" w:cs="Times New Roman" w:ascii="PT Astra Serif" w:hAnsi="PT Astra Serif"/>
            <w:iCs/>
            <w:color w:val="000000"/>
            <w:kern w:val="0"/>
            <w:sz w:val="28"/>
            <w:szCs w:val="28"/>
            <w:lang w:val="ru-RU" w:eastAsia="ru-RU" w:bidi="ar-SA"/>
          </w:rPr>
          <w:t>постановлением</w:t>
        </w:r>
      </w:hyperlink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Правительства Кемеровской - Кузбасса от 15.05.2020 № 290 «Об утверждении перечня государственных услуг исполнительных органов Кемеровской области - Кузбасса», </w:t>
      </w:r>
      <w:hyperlink r:id="rId6" w:tooltip="Постановление Правительства Кемеровской области - Кузбасса от 12.08.2025 N 506 &quot;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- Кузбасса&quot; {КонсультантПлюс}">
        <w:r>
          <w:rPr>
            <w:rStyle w:val="Style"/>
            <w:rFonts w:eastAsia="Times New Roman" w:cs="Times New Roman" w:ascii="PT Astra Serif" w:hAnsi="PT Astra Serif"/>
            <w:iCs/>
            <w:color w:val="000000"/>
            <w:kern w:val="0"/>
            <w:sz w:val="28"/>
            <w:szCs w:val="28"/>
            <w:lang w:val="ru-RU" w:eastAsia="ru-RU" w:bidi="ar-SA"/>
          </w:rPr>
          <w:t>постановлением</w:t>
        </w:r>
      </w:hyperlink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Правительства Кемеровской области - Кузбасса от 12.08.2025 № 506 «Об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- Кузбасса» приказываю:</w:t>
      </w:r>
    </w:p>
    <w:p>
      <w:pPr>
        <w:pStyle w:val="Normal181ce3dc-bb70-4ed9-99d7-8248ae041cff"/>
        <w:spacing w:lineRule="auto" w:line="24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>1. Утвердить прилагаемый административный регламент Министерства труда и социальной защиты Кузбасса по предоставлению государственной услуги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«Назначение ежегодной денежной выплаты лицам, награжденным нагрудным знаком «Почетный донор России».</w:t>
      </w:r>
    </w:p>
    <w:p>
      <w:pPr>
        <w:pStyle w:val="Normal181ce3dc-bb70-4ed9-99d7-8248ae041cff"/>
        <w:spacing w:lineRule="auto" w:line="24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2. Признать утратившим силу приказ Министерства социальной защиты населения Кузбасса от 28.08.2020 № 186 «Об утверждении административного регламента предоставления государственной услуги «Назначение ежегодной денежной выплаты лицам, награжденным нагрудным знаком «Почетный донор России».</w:t>
      </w:r>
    </w:p>
    <w:p>
      <w:pPr>
        <w:pStyle w:val="Normal181ce3dc-bb70-4ed9-99d7-8248ae041cff"/>
        <w:spacing w:lineRule="auto" w:line="24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>3. Государственному казенному учреждению «Центр социальных выплат и информатизации Министерства труда и социальной защиты Кузбасса» обеспечить размещение настоящего приказа на сайте «Электронный бюллетень Правительства Кемеровской области - Кузбасса» и на официальном сайте Министерства труда и социальной защиты Кузбасса.</w:t>
      </w:r>
    </w:p>
    <w:p>
      <w:pPr>
        <w:pStyle w:val="Normal181ce3dc-bb70-4ed9-99d7-8248ae041cff"/>
        <w:spacing w:lineRule="auto" w:line="24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 xml:space="preserve">4. Контроль за исполнением приказа оставляю за собой. </w:t>
      </w:r>
    </w:p>
    <w:p>
      <w:pPr>
        <w:pStyle w:val="Normal181ce3dc-bb70-4ed9-99d7-8248ae041cff"/>
        <w:spacing w:lineRule="auto" w:line="24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</w:p>
    <w:p>
      <w:pPr>
        <w:pStyle w:val="Normal181ce3dc-bb70-4ed9-99d7-8248ae041cff"/>
        <w:spacing w:lineRule="auto" w:line="24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</w:p>
    <w:p>
      <w:pPr>
        <w:pStyle w:val="Normal181ce3dc-bb70-4ed9-99d7-8248ae041cff"/>
        <w:spacing w:lineRule="auto" w:line="24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</w:p>
    <w:p>
      <w:pPr>
        <w:pStyle w:val="Normal98a0245a-fcd7-4c61-9d59-4ce3414be7df"/>
        <w:widowControl/>
        <w:suppressAutoHyphens w:val="true"/>
        <w:overflowPunct w:val="true"/>
        <w:bidi w:val="0"/>
        <w:spacing w:lineRule="auto" w:line="240" w:before="0" w:after="0"/>
        <w:ind w:hanging="0" w:left="0" w:right="0"/>
        <w:jc w:val="lef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sz w:val="28"/>
          <w:szCs w:val="28"/>
          <w:lang w:val="ru-RU" w:bidi="ar-SA"/>
        </w:rPr>
        <w:t>Министр</w:t>
        <w:tab/>
        <w:tab/>
        <w:tab/>
        <w:tab/>
        <w:tab/>
        <w:tab/>
        <w:tab/>
        <w:tab/>
        <w:tab/>
        <w:tab/>
        <w:t xml:space="preserve">         </w:t>
      </w:r>
      <w:r>
        <w:rPr>
          <w:rFonts w:ascii="PT Astra Serif" w:hAnsi="PT Astra Serif"/>
          <w:iCs/>
          <w:color w:val="000000"/>
          <w:sz w:val="28"/>
          <w:szCs w:val="28"/>
          <w:lang w:val="ru-RU" w:bidi="ar-SA"/>
        </w:rPr>
        <w:t>Н.С. Чайка</w:t>
      </w:r>
      <w:r>
        <w:br w:type="page"/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left="5670" w:right="-1"/>
        <w:contextualSpacing/>
        <w:jc w:val="center"/>
        <w:rPr/>
      </w:pPr>
      <w:r>
        <w:rPr>
          <w:rFonts w:ascii="PT Astra Serif" w:hAnsi="PT Astra Serif"/>
          <w:iCs/>
          <w:color w:val="000000"/>
          <w:sz w:val="28"/>
          <w:szCs w:val="28"/>
        </w:rPr>
        <w:t>Утвержден</w:t>
      </w:r>
      <w:r>
        <w:rPr>
          <w:rFonts w:ascii="PT Astra Serif" w:hAnsi="PT Astra Serif"/>
          <w:iCs/>
          <w:color w:val="000000"/>
          <w:sz w:val="28"/>
          <w:szCs w:val="28"/>
          <w:lang w:val="en-US"/>
        </w:rPr>
        <w:t xml:space="preserve"> </w:t>
      </w:r>
    </w:p>
    <w:p>
      <w:pPr>
        <w:pStyle w:val="Normal98a0245a-fcd7-4c61-9d59-4ce3414be7df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spacing w:lineRule="auto" w:line="240" w:before="0" w:after="0"/>
        <w:ind w:hanging="0" w:left="5272" w:right="0"/>
        <w:contextualSpacing/>
        <w:jc w:val="center"/>
        <w:rPr>
          <w:rFonts w:ascii="PT Astra Serif" w:hAnsi="PT Astra Serif" w:eastAsia="Times New Roman" w:cs="Times New Roman"/>
          <w:i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приказом Министерства труда</w:t>
      </w:r>
    </w:p>
    <w:p>
      <w:pPr>
        <w:pStyle w:val="Normal98a0245a-fcd7-4c61-9d59-4ce3414be7df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spacing w:lineRule="auto" w:line="240" w:before="0" w:after="0"/>
        <w:ind w:hanging="0" w:left="5272" w:right="0"/>
        <w:contextualSpacing/>
        <w:jc w:val="center"/>
        <w:rPr>
          <w:rFonts w:ascii="PT Astra Serif" w:hAnsi="PT Astra Serif" w:eastAsia="Times New Roman" w:cs="Times New Roman"/>
          <w:i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и социальной защиты Кузбасса 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left="5670"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от _____</w:t>
      </w:r>
      <w:r>
        <w:rPr>
          <w:rFonts w:ascii="PT Astra Serif" w:hAnsi="PT Astra Serif"/>
          <w:iCs/>
          <w:color w:val="000000"/>
          <w:sz w:val="28"/>
          <w:szCs w:val="28"/>
          <w:lang w:val="en-US"/>
        </w:rPr>
        <w:t>______ № ______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rPr>
          <w:rFonts w:ascii="PT Astra Serif" w:hAnsi="PT Astra Serif"/>
          <w:iCs/>
          <w:color w:val="000000"/>
          <w:sz w:val="28"/>
          <w:szCs w:val="28"/>
          <w:lang w:val="en-US"/>
        </w:rPr>
      </w:pPr>
      <w:r>
        <w:rPr>
          <w:rFonts w:ascii="PT Astra Serif" w:hAnsi="PT Astra Serif"/>
          <w:iCs/>
          <w:color w:val="000000"/>
          <w:sz w:val="28"/>
          <w:szCs w:val="28"/>
          <w:lang w:val="en-US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Административный регламент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iCs/>
          <w:color w:val="000000"/>
          <w:sz w:val="28"/>
          <w:szCs w:val="28"/>
        </w:rPr>
        <w:t>Министерства труда и социальной защиты Кузбасса</w:t>
      </w:r>
      <w:r>
        <w:rPr>
          <w:rFonts w:ascii="PT Astra Serif" w:hAnsi="PT Astra Serif"/>
          <w:b/>
          <w:iCs/>
          <w:color w:val="000000"/>
          <w:sz w:val="28"/>
          <w:szCs w:val="28"/>
        </w:rPr>
        <w:t xml:space="preserve"> по предоставлению государственной услуги </w:t>
      </w:r>
      <w:r>
        <w:rPr>
          <w:rFonts w:ascii="PT Astra Serif" w:hAnsi="PT Astra Serif"/>
          <w:b/>
          <w:bCs/>
          <w:iCs/>
          <w:sz w:val="28"/>
          <w:szCs w:val="28"/>
        </w:rPr>
        <w:t>«Назначение ежегодной денежной выплаты лицам, награжденным нагрудным знаком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bCs/>
          <w:iCs/>
          <w:sz w:val="28"/>
          <w:szCs w:val="28"/>
        </w:rPr>
      </w:pPr>
      <w:r>
        <w:rPr>
          <w:rFonts w:ascii="PT Astra Serif" w:hAnsi="PT Astra Serif"/>
          <w:b/>
          <w:bCs/>
          <w:iCs/>
          <w:sz w:val="28"/>
          <w:szCs w:val="28"/>
        </w:rPr>
        <w:t>«Почетный донор России»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color w:val="FF0000"/>
          <w:sz w:val="28"/>
          <w:szCs w:val="28"/>
          <w:lang w:val="en-US"/>
        </w:rPr>
      </w:pPr>
      <w:r>
        <w:rPr>
          <w:rFonts w:ascii="PT Astra Serif" w:hAnsi="PT Astra Serif"/>
          <w:b/>
          <w:color w:val="FF0000"/>
          <w:sz w:val="28"/>
          <w:szCs w:val="28"/>
          <w:lang w:val="en-US"/>
        </w:rPr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  <w:lang w:val="en-US"/>
        </w:rPr>
        <w:t>I</w:t>
      </w:r>
      <w:r>
        <w:rPr>
          <w:rFonts w:ascii="PT Astra Serif" w:hAnsi="PT Astra Serif"/>
          <w:b/>
          <w:iCs/>
          <w:sz w:val="28"/>
          <w:szCs w:val="28"/>
        </w:rPr>
        <w:t>. Общие положения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</w:rPr>
      </w:r>
    </w:p>
    <w:p>
      <w:pPr>
        <w:pStyle w:val="ListParagraph24773570-807f-48e4-9d7c-f1f46c5ae0f9"/>
        <w:numPr>
          <w:ilvl w:val="6"/>
          <w:numId w:val="4"/>
        </w:numPr>
        <w:tabs>
          <w:tab w:val="clear" w:pos="708"/>
          <w:tab w:val="left" w:pos="284" w:leader="none"/>
          <w:tab w:val="left" w:pos="1134" w:leader="none"/>
        </w:tabs>
        <w:spacing w:lineRule="auto" w:line="240"/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sz w:val="28"/>
          <w:szCs w:val="28"/>
        </w:rPr>
        <w:t xml:space="preserve">Настоящий административный регламент устанавливает порядок и стандарт предоставления государственной услуги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/>
        </w:rPr>
        <w:t xml:space="preserve">«Назначение ежегодной денежной выплаты лицам, награжденным нагрудным знаком «Почетный донор России»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(далее соответственно — административный регламент, Услуга)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/>
        </w:rPr>
        <w:t>.</w:t>
      </w:r>
    </w:p>
    <w:p>
      <w:pPr>
        <w:pStyle w:val="ListParagraph24773570-807f-48e4-9d7c-f1f46c5ae0f9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/>
        </w:rPr>
        <w:t>Перечень условных обозначений и сокращений приведен в таблице № 1 приложения № 1 к настоящему административному регламенту.</w:t>
      </w:r>
    </w:p>
    <w:p>
      <w:pPr>
        <w:pStyle w:val="ListParagraph24773570-807f-48e4-9d7c-f1f46c5ae0f9"/>
        <w:widowControl/>
        <w:numPr>
          <w:ilvl w:val="6"/>
          <w:numId w:val="4"/>
        </w:numPr>
        <w:tabs>
          <w:tab w:val="clear" w:pos="708"/>
          <w:tab w:val="left" w:pos="284" w:leader="none"/>
          <w:tab w:val="left" w:pos="1134" w:leader="none"/>
        </w:tabs>
        <w:bidi w:val="0"/>
        <w:spacing w:lineRule="auto" w:line="240"/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/>
        </w:rPr>
        <w:t xml:space="preserve">Круг заявителей (далее — заявитель): </w:t>
      </w:r>
    </w:p>
    <w:p>
      <w:pPr>
        <w:pStyle w:val="ListParagraph24773570-807f-48e4-9d7c-f1f46c5ae0f9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PT Astra Serif" w:hAnsi="PT Astra Serif" w:eastAsia="Times New Roman" w:cs="Times New Roman"/>
          <w:iCs/>
          <w:color w:val="000000"/>
          <w:kern w:val="0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/>
        </w:rPr>
        <w:t>а) лица, награжденные нагрудным знаком «Почетный донор России»;</w:t>
      </w:r>
    </w:p>
    <w:p>
      <w:pPr>
        <w:pStyle w:val="ListParagraph24773570-807f-48e4-9d7c-f1f46c5ae0f9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/>
        </w:rPr>
        <w:t>б) гра</w:t>
      </w:r>
      <w:r>
        <w:rPr>
          <w:rFonts w:ascii="PT Astra Serif" w:hAnsi="PT Astra Serif"/>
          <w:sz w:val="28"/>
          <w:szCs w:val="28"/>
        </w:rPr>
        <w:t>ждане Российской Федерации, постоянно проживающие на территории Российской Федерации, награжденные нагрудным знаком «Почетный донор СССР»;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в) граждане, имеющие статус Почетный донор Донецкой Народной Республики, Почетный донор Луганской Народной Республики или Почетный донор Украины, постоянно проживающие на территории Российской Федерации.</w:t>
      </w:r>
    </w:p>
    <w:p>
      <w:pPr>
        <w:pStyle w:val="ListParagraph24773570-807f-48e4-9d7c-f1f46c5ae0f9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/>
        </w:rPr>
        <w:t xml:space="preserve">От имени заявителя вправе обратиться его законный представитель или лицо, уполномоченное им на основании доверенности, оформленной в соответствии с законодательством Российской Федерации. </w:t>
      </w:r>
    </w:p>
    <w:p>
      <w:pPr>
        <w:pStyle w:val="ListParagraph24773570-807f-48e4-9d7c-f1f46c5ae0f9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Идентификаторы категорий (признаков) заявителей приведены в таблице № 2 приложения № 1 к настоящему административному регламенту.</w:t>
      </w:r>
    </w:p>
    <w:p>
      <w:pPr>
        <w:pStyle w:val="ListParagraph24773570-807f-48e4-9d7c-f1f46c5ae0f9"/>
        <w:widowControl/>
        <w:numPr>
          <w:ilvl w:val="6"/>
          <w:numId w:val="4"/>
        </w:numPr>
        <w:tabs>
          <w:tab w:val="clear" w:pos="708"/>
          <w:tab w:val="left" w:pos="284" w:leader="none"/>
          <w:tab w:val="left" w:pos="1134" w:leader="none"/>
        </w:tabs>
        <w:bidi w:val="0"/>
        <w:spacing w:lineRule="auto" w:line="240"/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/>
        </w:rPr>
        <w:t>Услуга предоставляется заявителю в соответствии с категориями (признаками) заявителя, которые размещаются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/>
        </w:rPr>
        <w:footnoteReference w:id="2"/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/>
        </w:rPr>
        <w:t xml:space="preserve"> (далее –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eastAsia="ru-RU"/>
        </w:rPr>
        <w:t xml:space="preserve"> единый портал)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/>
        </w:rPr>
        <w:t xml:space="preserve">, и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— Кузбасса» (далее - 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eastAsia="ru-RU"/>
        </w:rPr>
        <w:t>региональный портал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/>
        </w:rPr>
        <w:t>).</w:t>
      </w:r>
    </w:p>
    <w:p>
      <w:pPr>
        <w:pStyle w:val="ListParagraphce1fd3f6-d7f7-4359-a422-aeb1142ff497"/>
        <w:widowControl/>
        <w:numPr>
          <w:ilvl w:val="6"/>
          <w:numId w:val="4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kern w:val="0"/>
          <w:sz w:val="28"/>
          <w:szCs w:val="28"/>
          <w:lang w:val="ru-RU" w:eastAsia="ru-RU" w:bidi="ar-SA"/>
        </w:rPr>
        <w:t xml:space="preserve">Категории (признаки) заявителя определяются в результате анкетирования, проводимого органом, предоставляющим услугу (далее - </w:t>
      </w:r>
      <w:r>
        <w:rPr>
          <w:rFonts w:eastAsia="Times New Roman" w:cs="Times New Roman" w:ascii="PT Astra Serif" w:hAnsi="PT Astra Serif"/>
          <w:b w:val="false"/>
          <w:bCs w:val="false"/>
          <w:kern w:val="0"/>
          <w:sz w:val="28"/>
          <w:szCs w:val="28"/>
          <w:lang w:val="ru-RU" w:eastAsia="ru-RU" w:bidi="ar-SA"/>
        </w:rPr>
        <w:t>профилирование</w:t>
      </w:r>
      <w:r>
        <w:rPr>
          <w:rFonts w:eastAsia="Times New Roman" w:cs="Times New Roman" w:ascii="PT Astra Serif" w:hAnsi="PT Astra Serif"/>
          <w:kern w:val="0"/>
          <w:sz w:val="28"/>
          <w:szCs w:val="28"/>
          <w:lang w:val="ru-RU" w:eastAsia="ru-RU" w:bidi="ar-SA"/>
        </w:rPr>
        <w:t>), осуществляемого в соответствии с настоящим административным регламентом.</w:t>
      </w:r>
    </w:p>
    <w:p>
      <w:pPr>
        <w:pStyle w:val="ListParagraph24773570-807f-48e4-9d7c-f1f46c5ae0f9"/>
        <w:tabs>
          <w:tab w:val="clear" w:pos="708"/>
          <w:tab w:val="left" w:pos="284" w:leader="none"/>
          <w:tab w:val="left" w:pos="1134" w:leader="none"/>
        </w:tabs>
        <w:ind w:firstLine="567" w:left="0" w:right="-1"/>
        <w:jc w:val="both"/>
        <w:rPr>
          <w:rFonts w:ascii="PT Astra Serif" w:hAnsi="PT Astra Serif"/>
          <w:iCs/>
          <w:sz w:val="28"/>
          <w:szCs w:val="28"/>
        </w:rPr>
      </w:pPr>
      <w:r>
        <w:rPr>
          <w:rFonts w:ascii="PT Astra Serif" w:hAnsi="PT Astra Serif"/>
          <w:iCs/>
          <w:sz w:val="28"/>
          <w:szCs w:val="28"/>
        </w:rPr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  <w:lang w:val="en-US"/>
        </w:rPr>
        <w:t>II</w:t>
      </w:r>
      <w:r>
        <w:rPr>
          <w:rFonts w:ascii="PT Astra Serif" w:hAnsi="PT Astra Serif"/>
          <w:b/>
          <w:iCs/>
          <w:sz w:val="28"/>
          <w:szCs w:val="28"/>
        </w:rPr>
        <w:t>. Стандарт предоставления Услуги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</w:rPr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</w:rPr>
        <w:t xml:space="preserve"> </w:t>
      </w:r>
      <w:r>
        <w:rPr>
          <w:rFonts w:ascii="PT Astra Serif" w:hAnsi="PT Astra Serif"/>
          <w:b/>
          <w:iCs/>
          <w:sz w:val="28"/>
          <w:szCs w:val="28"/>
        </w:rPr>
        <w:t>Наименование Услуги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</w:rPr>
      </w:r>
    </w:p>
    <w:p>
      <w:pPr>
        <w:pStyle w:val="ListParagraph24773570-807f-48e4-9d7c-f1f46c5ae0f9"/>
        <w:numPr>
          <w:ilvl w:val="6"/>
          <w:numId w:val="4"/>
        </w:numPr>
        <w:tabs>
          <w:tab w:val="clear" w:pos="708"/>
          <w:tab w:val="left" w:pos="284" w:leader="none"/>
          <w:tab w:val="left" w:pos="1134" w:leader="none"/>
        </w:tabs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/>
        </w:rPr>
        <w:t xml:space="preserve">Назначение ежегодной денежной выплаты лицам, награжденным нагрудным знаком «Почетный донор России» (далее — 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eastAsia="ru-RU"/>
        </w:rPr>
        <w:t>ежегодная денежная выплата).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</w:rPr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</w:rPr>
        <w:t>Наименование органа, предоставляющего Услугу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</w:rPr>
      </w:r>
    </w:p>
    <w:p>
      <w:pPr>
        <w:pStyle w:val="ListParagraph24773570-807f-48e4-9d7c-f1f46c5ae0f9"/>
        <w:numPr>
          <w:ilvl w:val="6"/>
          <w:numId w:val="4"/>
        </w:numPr>
        <w:tabs>
          <w:tab w:val="clear" w:pos="708"/>
          <w:tab w:val="left" w:pos="284" w:leader="none"/>
          <w:tab w:val="left" w:pos="1134" w:leader="none"/>
          <w:tab w:val="left" w:pos="1185" w:leader="none"/>
        </w:tabs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Cs/>
          <w:color w:val="000000"/>
          <w:sz w:val="28"/>
          <w:szCs w:val="28"/>
        </w:rPr>
        <w:t>Услугу предоставляют органы, уполномоченные органами местного самоуправления в сфере социальной поддержки и социального обслуживания населения (далее – уполномоченный орган).</w:t>
      </w:r>
    </w:p>
    <w:p>
      <w:pPr>
        <w:pStyle w:val="ConsPlusNormal"/>
        <w:numPr>
          <w:ilvl w:val="0"/>
          <w:numId w:val="0"/>
        </w:numPr>
        <w:spacing w:lineRule="auto" w:line="240" w:before="240" w:after="0"/>
        <w:ind w:hanging="0" w:left="0"/>
        <w:jc w:val="both"/>
        <w:rPr>
          <w:color w:val="FF0000"/>
        </w:rPr>
      </w:pPr>
      <w:r>
        <w:rPr>
          <w:color w:val="FF0000"/>
        </w:rPr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</w:rPr>
        <w:t>Результат предоставления Услуги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</w:rPr>
      </w:r>
    </w:p>
    <w:p>
      <w:pPr>
        <w:pStyle w:val="ListParagraphce1fd3f6-d7f7-4359-a422-aeb1142ff497"/>
        <w:numPr>
          <w:ilvl w:val="6"/>
          <w:numId w:val="4"/>
        </w:numPr>
        <w:tabs>
          <w:tab w:val="clear" w:pos="708"/>
          <w:tab w:val="left" w:pos="284" w:leader="none"/>
          <w:tab w:val="left" w:pos="1134" w:leader="none"/>
        </w:tabs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/>
        </w:rPr>
        <w:t>При обращении заявителя за н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en-US" w:eastAsia="ru-RU"/>
        </w:rPr>
        <w:t xml:space="preserve">азначением ежегодной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 w:bidi="ar-SA"/>
        </w:rPr>
        <w:t xml:space="preserve">денежной выплаты лицам, награжденным нагрудным знаком «Почетный донор России», результатом предоставления Услуги является решение о назначении ежегодной денежной выплаты либо об решение об отказе в назначении ежегодной денежной выплаты согласно приложениям № 3 и № 4 к настоящему административному регламенту (в форме электронного документа или документа на бумажном носителе по запросу заявителя). </w:t>
      </w:r>
    </w:p>
    <w:p>
      <w:pPr>
        <w:pStyle w:val="ListParagraph24773570-807f-48e4-9d7c-f1f46c5ae0f9"/>
        <w:tabs>
          <w:tab w:val="clear" w:pos="708"/>
          <w:tab w:val="left" w:pos="284" w:leader="none"/>
          <w:tab w:val="left" w:pos="1134" w:leader="none"/>
        </w:tabs>
        <w:ind w:firstLine="851" w:left="0" w:right="-1"/>
        <w:jc w:val="both"/>
        <w:rPr>
          <w:rFonts w:ascii="PT Astra Serif" w:hAnsi="PT Astra Serif"/>
          <w:iCs/>
          <w:color w:val="000000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24773570-807f-48e4-9d7c-f1f46c5ae0f9"/>
        <w:numPr>
          <w:ilvl w:val="6"/>
          <w:numId w:val="4"/>
        </w:numPr>
        <w:tabs>
          <w:tab w:val="clear" w:pos="708"/>
          <w:tab w:val="left" w:pos="284" w:leader="none"/>
          <w:tab w:val="left" w:pos="1134" w:leader="none"/>
        </w:tabs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 xml:space="preserve">Результаты предоставления Услуги могут быть получены </w:t>
      </w:r>
      <w:r>
        <w:rPr>
          <w:rFonts w:ascii="PT Astra Serif" w:hAnsi="PT Astra Serif"/>
          <w:color w:val="000000"/>
          <w:sz w:val="28"/>
          <w:szCs w:val="28"/>
        </w:rPr>
        <w:t xml:space="preserve">в уполномоченном органе,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(далее - МФЦ)</w:t>
      </w:r>
      <w:r>
        <w:rPr>
          <w:rFonts w:ascii="PT Astra Serif" w:hAnsi="PT Astra Serif"/>
          <w:color w:val="000000"/>
          <w:sz w:val="28"/>
          <w:szCs w:val="28"/>
        </w:rPr>
        <w:t>, посредством единого портала, посредством почтовой связи.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</w:rPr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</w:rPr>
        <w:t>Срок предоставления Услуги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sz w:val="28"/>
          <w:szCs w:val="28"/>
        </w:rPr>
      </w:pPr>
      <w:r>
        <w:rPr>
          <w:rFonts w:ascii="PT Astra Serif" w:hAnsi="PT Astra Serif"/>
          <w:b/>
          <w:iCs/>
          <w:sz w:val="28"/>
          <w:szCs w:val="28"/>
        </w:rPr>
      </w:r>
    </w:p>
    <w:p>
      <w:pPr>
        <w:pStyle w:val="ListParagraph24773570-807f-48e4-9d7c-f1f46c5ae0f9"/>
        <w:numPr>
          <w:ilvl w:val="6"/>
          <w:numId w:val="4"/>
        </w:numPr>
        <w:tabs>
          <w:tab w:val="clear" w:pos="708"/>
          <w:tab w:val="left" w:pos="284" w:leader="none"/>
          <w:tab w:val="left" w:pos="1134" w:leader="none"/>
        </w:tabs>
        <w:ind w:firstLine="851" w:left="0" w:right="-1"/>
        <w:jc w:val="both"/>
        <w:rPr/>
      </w:pPr>
      <w:r>
        <w:rPr>
          <w:rFonts w:ascii="PT Astra Serif" w:hAnsi="PT Astra Serif"/>
          <w:iCs/>
          <w:color w:val="auto"/>
          <w:sz w:val="28"/>
          <w:szCs w:val="28"/>
        </w:rPr>
        <w:t xml:space="preserve">Максимальный срок предоставления Услуги, исчисляемый с даты регистрации запроса о предоставлении Услуги (далее – </w:t>
      </w:r>
      <w:r>
        <w:rPr>
          <w:rFonts w:ascii="PT Astra Serif" w:hAnsi="PT Astra Serif"/>
          <w:b w:val="false"/>
          <w:bCs w:val="false"/>
          <w:iCs/>
          <w:color w:val="auto"/>
          <w:sz w:val="28"/>
          <w:szCs w:val="28"/>
        </w:rPr>
        <w:t>заявление</w:t>
      </w:r>
      <w:r>
        <w:rPr>
          <w:rFonts w:ascii="PT Astra Serif" w:hAnsi="PT Astra Serif"/>
          <w:iCs/>
          <w:color w:val="auto"/>
          <w:sz w:val="28"/>
          <w:szCs w:val="28"/>
        </w:rPr>
        <w:t>) и документов, необходимых для предоставления Услуги, составляет 7 рабочих дней независимо</w:t>
      </w:r>
      <w:r>
        <w:rPr>
          <w:rFonts w:ascii="PT Astra Serif" w:hAnsi="PT Astra Serif"/>
          <w:iCs/>
          <w:color w:val="auto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iCs/>
          <w:color w:val="auto"/>
          <w:sz w:val="28"/>
          <w:szCs w:val="28"/>
        </w:rPr>
        <w:t>от</w:t>
      </w:r>
      <w:r>
        <w:rPr>
          <w:rFonts w:ascii="PT Astra Serif" w:hAnsi="PT Astra Serif"/>
          <w:iCs/>
          <w:color w:val="auto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iCs/>
          <w:color w:val="auto"/>
          <w:sz w:val="28"/>
          <w:szCs w:val="28"/>
        </w:rPr>
        <w:t>категории</w:t>
      </w:r>
      <w:r>
        <w:rPr>
          <w:rFonts w:ascii="PT Astra Serif" w:hAnsi="PT Astra Serif"/>
          <w:iCs/>
          <w:color w:val="auto"/>
          <w:sz w:val="28"/>
          <w:szCs w:val="28"/>
          <w:lang w:val="en-US"/>
        </w:rPr>
        <w:t xml:space="preserve"> (</w:t>
      </w:r>
      <w:r>
        <w:rPr>
          <w:rFonts w:ascii="PT Astra Serif" w:hAnsi="PT Astra Serif"/>
          <w:iCs/>
          <w:color w:val="auto"/>
          <w:sz w:val="28"/>
          <w:szCs w:val="28"/>
        </w:rPr>
        <w:t>признаков</w:t>
      </w:r>
      <w:r>
        <w:rPr>
          <w:rFonts w:ascii="PT Astra Serif" w:hAnsi="PT Astra Serif"/>
          <w:iCs/>
          <w:color w:val="auto"/>
          <w:sz w:val="28"/>
          <w:szCs w:val="28"/>
          <w:lang w:val="en-US"/>
        </w:rPr>
        <w:t xml:space="preserve">) </w:t>
      </w:r>
      <w:r>
        <w:rPr>
          <w:rFonts w:ascii="PT Astra Serif" w:hAnsi="PT Astra Serif"/>
          <w:iCs/>
          <w:color w:val="auto"/>
          <w:sz w:val="28"/>
          <w:szCs w:val="28"/>
        </w:rPr>
        <w:t>заявителя и способа обращения.</w:t>
      </w:r>
    </w:p>
    <w:p>
      <w:pPr>
        <w:pStyle w:val="ConsPlusTitle"/>
        <w:numPr>
          <w:ilvl w:val="0"/>
          <w:numId w:val="0"/>
        </w:numPr>
        <w:spacing w:lineRule="auto" w:line="240"/>
        <w:ind w:hanging="0" w:left="0"/>
        <w:jc w:val="center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Размер платы, взимаемой с заявителя при предоставлении</w:t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Услуги, и способы ее взимания</w:t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ListParagraph24773570-807f-48e4-9d7c-f1f46c5ae0f9"/>
        <w:widowControl/>
        <w:numPr>
          <w:ilvl w:val="6"/>
          <w:numId w:val="4"/>
        </w:numPr>
        <w:tabs>
          <w:tab w:val="clear" w:pos="708"/>
          <w:tab w:val="left" w:pos="284" w:leader="none"/>
          <w:tab w:val="left" w:pos="1134" w:leader="none"/>
        </w:tabs>
        <w:bidi w:val="0"/>
        <w:spacing w:lineRule="auto" w:line="240"/>
        <w:ind w:firstLine="851" w:left="0" w:right="-1"/>
        <w:jc w:val="both"/>
        <w:rPr>
          <w:rFonts w:ascii="PT Astra Serif" w:hAnsi="PT Astra Serif" w:eastAsia="Times New Roman" w:cs="Times New Roman"/>
          <w:iCs/>
          <w:color w:val="auto"/>
          <w:kern w:val="0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iCs/>
          <w:color w:val="auto"/>
          <w:kern w:val="0"/>
          <w:sz w:val="28"/>
          <w:szCs w:val="28"/>
          <w:lang w:eastAsia="ru-RU"/>
        </w:rPr>
        <w:t xml:space="preserve">Взимание платы за предоставление Услуги законодательством Российской Федерации не предусмотрено. </w:t>
      </w:r>
    </w:p>
    <w:p>
      <w:pPr>
        <w:pStyle w:val="ListParagraph24773570-807f-48e4-9d7c-f1f46c5ae0f9"/>
        <w:widowControl/>
        <w:numPr>
          <w:ilvl w:val="6"/>
          <w:numId w:val="4"/>
        </w:numPr>
        <w:tabs>
          <w:tab w:val="clear" w:pos="708"/>
          <w:tab w:val="left" w:pos="284" w:leader="none"/>
          <w:tab w:val="left" w:pos="1134" w:leader="none"/>
        </w:tabs>
        <w:bidi w:val="0"/>
        <w:spacing w:lineRule="auto" w:line="240"/>
        <w:ind w:firstLine="851" w:left="0" w:right="-1"/>
        <w:jc w:val="both"/>
        <w:rPr>
          <w:rFonts w:ascii="PT Astra Serif" w:hAnsi="PT Astra Serif" w:eastAsia="Times New Roman" w:cs="Times New Roman"/>
          <w:iCs/>
          <w:color w:val="auto"/>
          <w:kern w:val="0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iCs/>
          <w:color w:val="auto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PT Astra Serif" w:hAnsi="PT Astra Serif"/>
          <w:iCs/>
          <w:color w:val="auto"/>
          <w:kern w:val="0"/>
          <w:sz w:val="28"/>
          <w:szCs w:val="28"/>
          <w:lang w:eastAsia="ru-RU"/>
        </w:rPr>
        <w:t>Информация о том, что Услуга предоставляется бесплатно, размещается на официальном сайте уполномоченного органа. При личном обращении заявителя за предоставлением Услуги специалист уполномоченного органа информирует о том, что Услуга предоставляется бесплатно.</w:t>
      </w:r>
    </w:p>
    <w:p>
      <w:pPr>
        <w:pStyle w:val="ListParagraph24773570-807f-48e4-9d7c-f1f46c5ae0f9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iCs/>
          <w:color w:val="auto"/>
          <w:kern w:val="0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iCs/>
          <w:color w:val="auto"/>
          <w:kern w:val="0"/>
          <w:sz w:val="28"/>
          <w:szCs w:val="28"/>
          <w:lang w:eastAsia="ru-RU"/>
        </w:rPr>
      </w:r>
    </w:p>
    <w:p>
      <w:pPr>
        <w:pStyle w:val="ConsPlusTitle"/>
        <w:numPr>
          <w:ilvl w:val="0"/>
          <w:numId w:val="0"/>
        </w:numPr>
        <w:spacing w:lineRule="auto" w:line="240"/>
        <w:ind w:hanging="0" w:left="0"/>
        <w:jc w:val="center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Максимальный срок ожидания в очереди при подаче заявителем</w:t>
      </w:r>
    </w:p>
    <w:p>
      <w:pPr>
        <w:pStyle w:val="ConsPlusTitle"/>
        <w:numPr>
          <w:ilvl w:val="0"/>
          <w:numId w:val="0"/>
        </w:numPr>
        <w:spacing w:lineRule="auto" w:line="240"/>
        <w:ind w:hanging="0" w:left="0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заявления при получении результата предоставления Услуги</w:t>
      </w:r>
    </w:p>
    <w:p>
      <w:pPr>
        <w:pStyle w:val="ConsPlusTitle"/>
        <w:numPr>
          <w:ilvl w:val="0"/>
          <w:numId w:val="0"/>
        </w:numPr>
        <w:spacing w:lineRule="auto" w:line="240"/>
        <w:ind w:hanging="0" w:left="0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ListParagraph24773570-807f-48e4-9d7c-f1f46c5ae0f9"/>
        <w:widowControl/>
        <w:numPr>
          <w:ilvl w:val="6"/>
          <w:numId w:val="4"/>
        </w:numPr>
        <w:tabs>
          <w:tab w:val="clear" w:pos="708"/>
          <w:tab w:val="left" w:pos="284" w:leader="none"/>
          <w:tab w:val="left" w:pos="1134" w:leader="none"/>
        </w:tabs>
        <w:bidi w:val="0"/>
        <w:spacing w:lineRule="auto" w:line="240"/>
        <w:ind w:firstLine="851" w:left="0" w:right="-1"/>
        <w:jc w:val="both"/>
        <w:rPr>
          <w:rFonts w:ascii="PT Astra Serif" w:hAnsi="PT Astra Serif" w:eastAsia="Times New Roman" w:cs="Times New Roman"/>
          <w:iCs/>
          <w:color w:val="auto"/>
          <w:kern w:val="0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iCs/>
          <w:color w:val="auto"/>
          <w:kern w:val="0"/>
          <w:sz w:val="28"/>
          <w:szCs w:val="28"/>
          <w:lang w:eastAsia="ru-RU"/>
        </w:rPr>
        <w:t>Максимальный срок ожидания в очереди при подаче заявления о предоставлении Услуги и при получении результата предоставления Услуги в уполномоченном органе составляет не более 15 минут.</w:t>
      </w:r>
    </w:p>
    <w:p>
      <w:pPr>
        <w:pStyle w:val="ListParagraph24773570-807f-48e4-9d7c-f1f46c5ae0f9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iCs/>
          <w:color w:val="auto"/>
          <w:kern w:val="0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iCs/>
          <w:color w:val="auto"/>
          <w:kern w:val="0"/>
          <w:sz w:val="28"/>
          <w:szCs w:val="28"/>
          <w:lang w:eastAsia="ru-RU"/>
        </w:rPr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Срок регистрации заявления о предоставлении Услуги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</w:p>
    <w:p>
      <w:pPr>
        <w:pStyle w:val="ListParagraph24773570-807f-48e4-9d7c-f1f46c5ae0f9"/>
        <w:numPr>
          <w:ilvl w:val="6"/>
          <w:numId w:val="4"/>
        </w:numPr>
        <w:ind w:firstLine="851"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>
      <w:pPr>
        <w:pStyle w:val="Normal4f7442aa-49e4-4881-8f6e-0bcda56d6f18"/>
        <w:widowControl/>
        <w:suppressAutoHyphens w:val="true"/>
        <w:bidi w:val="0"/>
        <w:spacing w:lineRule="auto" w:line="240" w:before="0" w:after="0"/>
        <w:ind w:firstLine="850" w:left="0" w:right="0"/>
        <w:jc w:val="lef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val="en-US"/>
        </w:rPr>
        <w:t xml:space="preserve">а) </w:t>
      </w:r>
      <w:r>
        <w:rPr>
          <w:rFonts w:ascii="PT Astra Serif" w:hAnsi="PT Astra Serif"/>
          <w:sz w:val="28"/>
          <w:szCs w:val="28"/>
          <w:lang w:val="ru-RU" w:eastAsia="ru-RU" w:bidi="ar-SA"/>
        </w:rPr>
        <w:t>при личном обращении в уполномоченный орган – 1 рабочий день</w:t>
      </w:r>
      <w:r>
        <w:rPr>
          <w:rFonts w:ascii="PT Astra Serif" w:hAnsi="PT Astra Serif"/>
          <w:sz w:val="28"/>
          <w:szCs w:val="28"/>
          <w:lang w:val="en-US"/>
        </w:rPr>
        <w:t>;</w:t>
      </w:r>
    </w:p>
    <w:p>
      <w:pPr>
        <w:pStyle w:val="Normal4f7442aa-49e4-4881-8f6e-0bcda56d6f18"/>
        <w:widowControl/>
        <w:suppressAutoHyphens w:val="true"/>
        <w:bidi w:val="0"/>
        <w:spacing w:lineRule="auto" w:line="240" w:before="0" w:after="0"/>
        <w:ind w:firstLine="850" w:left="0" w:right="0"/>
        <w:jc w:val="lef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val="en-US"/>
        </w:rPr>
        <w:t xml:space="preserve">б) в МФЦ – 1 </w:t>
      </w:r>
      <w:r>
        <w:rPr>
          <w:rFonts w:ascii="PT Astra Serif" w:hAnsi="PT Astra Serif"/>
          <w:sz w:val="28"/>
          <w:szCs w:val="28"/>
          <w:lang w:val="ru-RU" w:eastAsia="ru-RU" w:bidi="ar-SA"/>
        </w:rPr>
        <w:t>рабочий день</w:t>
      </w:r>
      <w:r>
        <w:rPr>
          <w:rFonts w:ascii="PT Astra Serif" w:hAnsi="PT Astra Serif"/>
          <w:sz w:val="28"/>
          <w:szCs w:val="28"/>
          <w:lang w:val="en-US"/>
        </w:rPr>
        <w:t>;</w:t>
      </w:r>
    </w:p>
    <w:p>
      <w:pPr>
        <w:pStyle w:val="Normal4f7442aa-49e4-4881-8f6e-0bcda56d6f18"/>
        <w:widowControl/>
        <w:suppressAutoHyphens w:val="true"/>
        <w:bidi w:val="0"/>
        <w:spacing w:lineRule="auto" w:line="240" w:before="0" w:after="0"/>
        <w:ind w:firstLine="850" w:left="0" w:right="0"/>
        <w:jc w:val="lef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val="en-US"/>
        </w:rPr>
        <w:t xml:space="preserve">в) </w:t>
      </w:r>
      <w:r>
        <w:rPr>
          <w:rFonts w:ascii="PT Astra Serif" w:hAnsi="PT Astra Serif"/>
          <w:sz w:val="28"/>
          <w:szCs w:val="28"/>
          <w:lang w:val="ru-RU" w:eastAsia="ru-RU" w:bidi="ar-SA"/>
        </w:rPr>
        <w:t>посредством единого портала – 1 рабочий день;</w:t>
      </w:r>
    </w:p>
    <w:p>
      <w:pPr>
        <w:pStyle w:val="Normal4f7442aa-49e4-4881-8f6e-0bcda56d6f18"/>
        <w:widowControl/>
        <w:suppressAutoHyphens w:val="true"/>
        <w:bidi w:val="0"/>
        <w:spacing w:lineRule="auto" w:line="240" w:before="0" w:after="0"/>
        <w:ind w:firstLine="850" w:left="0" w:right="0"/>
        <w:jc w:val="lef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val="en-US"/>
        </w:rPr>
        <w:t xml:space="preserve">г) </w:t>
      </w:r>
      <w:r>
        <w:rPr>
          <w:rFonts w:ascii="PT Astra Serif" w:hAnsi="PT Astra Serif"/>
          <w:sz w:val="28"/>
          <w:szCs w:val="28"/>
          <w:lang w:val="ru-RU" w:eastAsia="ru-RU" w:bidi="ar-SA"/>
        </w:rPr>
        <w:t>посредством почтовой связи – 1 рабочий день</w:t>
      </w:r>
      <w:r>
        <w:rPr>
          <w:rFonts w:ascii="PT Astra Serif" w:hAnsi="PT Astra Serif"/>
          <w:sz w:val="28"/>
          <w:szCs w:val="28"/>
          <w:lang w:val="en-US"/>
        </w:rPr>
        <w:t>;</w:t>
      </w:r>
    </w:p>
    <w:p>
      <w:pPr>
        <w:pStyle w:val="ListParagraphce1fd3f6-d7f7-4359-a422-aeb1142ff497"/>
        <w:keepLines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Заявление, поступившее в нерабочее время, регистрируется в первый рабочий день.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Требования к помещениям, в которых предоставляется Услуга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  <w:tab w:val="left" w:pos="1410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Требования к помещениям, в которых предоставляется Услуга, размещены на официальном сайте уполномоченного органа в сети «Интернет».</w:t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  <w:tab w:val="left" w:pos="1410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Нормативные правовые документы, регламентирующие предоставление Услуги, информация о порядке, документах и сроках предоставления Услуги размещаются на официальном сайте уполномоченного органа в сети «Интернет».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  <w:tab w:val="left" w:pos="1410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Показатели доступности и качества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ListParagraph24773570-807f-48e4-9d7c-f1f46c5ae0f9"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Показатели доступности и качества Услуги размещены на официальном сайте  уполномоченного органа в сети «Интернет», а также на едином портале.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Иные требования к предоставлению Услуги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/>
      </w:pPr>
      <w:r>
        <w:rPr/>
      </w:r>
    </w:p>
    <w:p>
      <w:pPr>
        <w:pStyle w:val="ListParagraph24773570-807f-48e4-9d7c-f1f46c5ae0f9"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ListParagraph24773570-807f-48e4-9d7c-f1f46c5ae0f9"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ind w:firstLine="851" w:left="0" w:right="-1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Информационные системы, используемые для предоставления Услуги:</w:t>
      </w:r>
    </w:p>
    <w:p>
      <w:pPr>
        <w:pStyle w:val="ListParagraph24773570-807f-48e4-9d7c-f1f46c5ae0f9"/>
        <w:bidi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а) единый портал;</w:t>
      </w:r>
    </w:p>
    <w:p>
      <w:pPr>
        <w:pStyle w:val="ListParagraph24773570-807f-48e4-9d7c-f1f46c5ae0f9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б) </w:t>
      </w:r>
      <w:r>
        <w:rPr>
          <w:rFonts w:ascii="PT Astra Serif" w:hAnsi="PT Astra Serif"/>
          <w:sz w:val="28"/>
          <w:szCs w:val="28"/>
          <w:lang w:val="ru-RU" w:eastAsia="ru-RU" w:bidi="ar-SA"/>
        </w:rPr>
        <w:t>государственная информационная система «Комплексная информационная система оказания государственных и муниципальных услуг Кемеровской области — Кузбасса»;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в) </w:t>
      </w:r>
      <w:r>
        <w:rPr>
          <w:rFonts w:ascii="PT Astra Serif" w:hAnsi="PT Astra Serif"/>
          <w:sz w:val="28"/>
          <w:szCs w:val="28"/>
          <w:lang w:val="ru-RU" w:eastAsia="en-US" w:bidi="ar-SA"/>
        </w:rPr>
        <w:t>федеральная государственная информационная система «Единая система межведомственного электронного взаимодействия» (далее - СМЭВ);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94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г) ведомственная информационная система «Адресная социальная помощь».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 w:before="0" w:after="0"/>
        <w:ind w:firstLine="851" w:left="0" w:right="0"/>
        <w:contextualSpacing/>
        <w:jc w:val="both"/>
        <w:rPr>
          <w:rFonts w:ascii="PT Astra Serif" w:hAnsi="PT Astra Serif"/>
          <w:color w:val="000000"/>
          <w:sz w:val="28"/>
          <w:szCs w:val="28"/>
          <w:shd w:fill="auto" w:val="clear"/>
        </w:rPr>
      </w:pPr>
      <w:r>
        <w:rPr>
          <w:rFonts w:ascii="PT Astra Serif" w:hAnsi="PT Astra Serif"/>
          <w:color w:val="000000"/>
          <w:sz w:val="28"/>
          <w:szCs w:val="28"/>
          <w:shd w:fill="auto" w:val="clear"/>
        </w:rPr>
        <w:t>Невозможность предоставления законному представителю несовершеннолетнего, не являющемуся заявителем, результата предоставления Услуги в отношении несовершеннолетнего, оформленного в форме документа на бумажном носителе в случае, если заявитель в момент подачи заявления выразил письменно желание получить запрашиваемый результат предоставления Услуги в отношении несовершеннолетнего лично, обусловлено тем, что заявителем является только совершеннолетний гражданин.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 w:before="0" w:after="0"/>
        <w:ind w:firstLine="851" w:left="0" w:right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Порядок предоставления результата Услуги в отношении несовершеннолетнего, оформленного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 w:before="0" w:after="0"/>
        <w:ind w:firstLine="851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Предоставление Услуги в МФЦ осуществляется при наличии заключенного соглашения о взаимодействии с МФЦ. Принятие МФЦ решения об отказе в приеме запроса и документов и (или) информации, необходимых для предоставления Услуги, действующим законодательством не предусмотрено.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spacing w:before="0" w:after="0"/>
        <w:ind w:firstLine="851" w:left="0" w:right="0"/>
        <w:contextualSpacing/>
        <w:jc w:val="both"/>
        <w:rPr>
          <w:rFonts w:ascii="PT Astra Serif" w:hAnsi="PT Astra Serif"/>
          <w:sz w:val="28"/>
          <w:szCs w:val="28"/>
          <w:shd w:fill="auto" w:val="clear"/>
          <w:lang w:val="ru-RU" w:bidi="ar-SA"/>
        </w:rPr>
      </w:pPr>
      <w:r>
        <w:rPr>
          <w:rFonts w:ascii="PT Astra Serif" w:hAnsi="PT Astra Serif"/>
          <w:sz w:val="28"/>
          <w:szCs w:val="28"/>
          <w:shd w:fill="auto" w:val="clear"/>
          <w:lang w:val="ru-RU" w:bidi="ar-SA"/>
        </w:rPr>
        <w:t xml:space="preserve">МФЦ осуществляет выдачу заявителю результата предоставления Услуги, включая выдачу документов на бумажном носителе, подтверждающих содержание электронных документов, направленных в МФЦ по результатам предоставления Услуги. </w:t>
      </w:r>
    </w:p>
    <w:p>
      <w:pPr>
        <w:pStyle w:val="Normal"/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spacing w:before="0" w:after="0"/>
        <w:ind w:firstLine="851" w:left="0" w:right="0"/>
        <w:contextualSpacing/>
        <w:jc w:val="both"/>
        <w:rPr>
          <w:rFonts w:ascii="PT Astra Serif" w:hAnsi="PT Astra Serif"/>
          <w:sz w:val="28"/>
          <w:szCs w:val="28"/>
          <w:shd w:fill="auto" w:val="clear"/>
          <w:lang w:val="ru-RU" w:bidi="ar-SA"/>
        </w:rPr>
      </w:pPr>
      <w:r>
        <w:rPr>
          <w:rFonts w:ascii="PT Astra Serif" w:hAnsi="PT Astra Serif"/>
          <w:sz w:val="28"/>
          <w:szCs w:val="28"/>
          <w:shd w:fill="auto" w:val="clear"/>
          <w:lang w:val="ru-RU" w:bidi="ar-SA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Исчерпывающий перечень документов, 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sdt>
        <w:sdtPr>
          <w:tag w:val="goog_rdk_26"/>
          <w:id w:val="-667085156"/>
        </w:sdtPr>
        <w:sdtContent>
          <w:r>
            <w:rPr/>
          </w:r>
          <w:r>
            <w:rPr/>
          </w:r>
        </w:sdtContent>
      </w:sdt>
      <w:sdt>
        <w:sdtPr>
          <w:tag w:val="goog_rdk_27"/>
          <w:id w:val="-1507136934"/>
        </w:sdtPr>
        <w:sdtContent>
          <w:r>
            <w:rPr/>
          </w:r>
          <w:r>
            <w:rPr/>
          </w:r>
        </w:sdtContent>
      </w:sdt>
      <w:sdt>
        <w:sdtPr>
          <w:tag w:val="goog_rdk_28"/>
          <w:id w:val="-51779007"/>
        </w:sdtPr>
        <w:sdtContent>
          <w:r>
            <w:rPr/>
          </w:r>
          <w:r>
            <w:rPr/>
          </w:r>
        </w:sdtContent>
      </w:sdt>
      <w:sdt>
        <w:sdtPr>
          <w:tag w:val="goog_rdk_29"/>
          <w:id w:val="702297071"/>
        </w:sdtPr>
        <w:sdtContent>
          <w:r>
            <w:rPr/>
          </w:r>
          <w:r>
            <w:rPr/>
          </w:r>
        </w:sdtContent>
      </w:sdt>
      <w:sdt>
        <w:sdtPr>
          <w:tag w:val="goog_rdk_30"/>
          <w:id w:val="-1312707403"/>
        </w:sdtPr>
        <w:sdtContent>
          <w:r>
            <w:rPr/>
          </w:r>
          <w:r>
            <w:rPr/>
          </w:r>
        </w:sdtContent>
      </w:sdt>
      <w:r>
        <w:rPr>
          <w:rFonts w:ascii="PT Astra Serif" w:hAnsi="PT Astra Serif"/>
          <w:b/>
          <w:color w:val="000000"/>
          <w:sz w:val="28"/>
          <w:szCs w:val="28"/>
        </w:rPr>
        <w:t>необходимых для предоставления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</w:p>
    <w:p>
      <w:pPr>
        <w:pStyle w:val="ListParagraphce1fd3f6-d7f7-4359-a422-aeb1142ff497"/>
        <w:keepLines/>
        <w:widowControl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В таблице № 3 приложения </w:t>
      </w:r>
      <w:r>
        <w:rPr>
          <w:rFonts w:ascii="PT Astra Serif" w:hAnsi="PT Astra Serif"/>
          <w:iCs/>
          <w:color w:val="000000"/>
          <w:sz w:val="28"/>
          <w:szCs w:val="28"/>
        </w:rPr>
        <w:t>№ 1</w:t>
      </w:r>
      <w:r>
        <w:rPr>
          <w:rFonts w:ascii="PT Astra Serif" w:hAnsi="PT Astra Serif"/>
          <w:color w:val="000000"/>
          <w:sz w:val="28"/>
          <w:szCs w:val="28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>
      <w:pPr>
        <w:pStyle w:val="ListParagraphce1fd3f6-d7f7-4359-a422-aeb1142ff497"/>
        <w:keepLines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а)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(далее – обязательный документ) при непосредственном обращении  в уполномоченный орган лично или посредством почтовой связи, МФЦ;</w:t>
      </w:r>
    </w:p>
    <w:p>
      <w:pPr>
        <w:pStyle w:val="ListParagraphce1fd3f6-d7f7-4359-a422-aeb1142ff497"/>
        <w:keepLines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б)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>
      <w:pPr>
        <w:pStyle w:val="ListParagraphce1fd3f6-d7f7-4359-a422-aeb1142ff497"/>
        <w:keepLines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Перечень способов подачи заявления о предоставлении Услуги и документов, необходимых для предоставления Услуги приведен в пункте 33.</w:t>
      </w:r>
    </w:p>
    <w:p>
      <w:pPr>
        <w:pStyle w:val="ListParagraphce1fd3f6-d7f7-4359-a422-aeb1142ff497"/>
        <w:keepLines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Сведения о форме заявления приведены в приложении № 2 к настоящему административному регламенту. </w:t>
      </w:r>
    </w:p>
    <w:p>
      <w:pPr>
        <w:pStyle w:val="Normal4f7442aa-49e4-4881-8f6e-0bcda56d6f18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4f7442aa-49e4-4881-8f6e-0bcda56d6f18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Исчерпывающий </w:t>
      </w:r>
      <w:r>
        <w:rPr>
          <w:rFonts w:ascii="PT Astra Serif" w:hAnsi="PT Astra Serif"/>
          <w:b/>
          <w:iCs/>
          <w:sz w:val="28"/>
          <w:szCs w:val="28"/>
        </w:rPr>
        <w:t>перечень</w:t>
      </w:r>
      <w:r>
        <w:rPr>
          <w:rFonts w:ascii="PT Astra Serif" w:hAnsi="PT Astra Serif"/>
          <w:b/>
          <w:sz w:val="28"/>
          <w:szCs w:val="28"/>
        </w:rPr>
        <w:t xml:space="preserve"> оснований для отказа в приеме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b/>
          <w:sz w:val="28"/>
          <w:szCs w:val="28"/>
        </w:rPr>
        <w:t>заявления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>
      <w:pPr>
        <w:pStyle w:val="Normal4f7442aa-49e4-4881-8f6e-0bcda56d6f18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</w:p>
    <w:p>
      <w:pPr>
        <w:pStyle w:val="ListParagraph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Основания для отказа в приеме документов, необходимых для предоставления Услуги, законодательством Российской Федерации не предусмотрены.</w:t>
      </w:r>
    </w:p>
    <w:p>
      <w:pPr>
        <w:pStyle w:val="ListParagraph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ListParagraph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Решение об отказе в предоставлении Услуги принимает уполномоченный орган при наличии следующих оснований: </w:t>
      </w:r>
    </w:p>
    <w:p>
      <w:pPr>
        <w:pStyle w:val="ListParagraphce1fd3f6-d7f7-4359-a422-aeb1142ff497"/>
        <w:keepLines/>
        <w:widowControl/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color w:val="000000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а) отсутствие у заявителя права на получение Услуги;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color w:val="000000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б) непредставление документов (сведений), необходимых для предоставления Услуги;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color w:val="000000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в) наличие в заявлении неполных или недостоверных сведений;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color w:val="000000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г) подача заявления и документов ненадлежащим лицом;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color w:val="000000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д) 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взаимодействия.</w:t>
      </w:r>
    </w:p>
    <w:p>
      <w:pPr>
        <w:pStyle w:val="ListParagraph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Основания для отказа в предоставлении Услуги с учетом категории (признаков) заявителя приведены в таблице № 4 приложения № 1 к настоящему административному регламенту. </w:t>
      </w:r>
    </w:p>
    <w:p>
      <w:pPr>
        <w:pStyle w:val="Normal4f7442aa-49e4-4881-8f6e-0bcda56d6f18"/>
        <w:numPr>
          <w:ilvl w:val="0"/>
          <w:numId w:val="0"/>
        </w:numPr>
        <w:ind w:hanging="0" w:left="0"/>
        <w:jc w:val="center"/>
        <w:rPr>
          <w:color w:val="auto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4f7442aa-49e4-4881-8f6e-0bcda56d6f18"/>
        <w:numPr>
          <w:ilvl w:val="0"/>
          <w:numId w:val="0"/>
        </w:numPr>
        <w:ind w:hanging="0" w:left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  <w:shd w:fill="auto" w:val="clear"/>
          <w:lang w:val="en-US"/>
        </w:rPr>
        <w:t>III</w:t>
      </w:r>
      <w:r>
        <w:rPr>
          <w:rFonts w:ascii="PT Astra Serif" w:hAnsi="PT Astra Serif"/>
          <w:b/>
          <w:color w:val="000000"/>
          <w:sz w:val="28"/>
          <w:szCs w:val="28"/>
          <w:shd w:fill="auto" w:val="clear"/>
        </w:rPr>
        <w:t xml:space="preserve">. Состав, последовательность и сроки </w:t>
      </w:r>
    </w:p>
    <w:p>
      <w:pPr>
        <w:pStyle w:val="Normal4f7442aa-49e4-4881-8f6e-0bcda56d6f18"/>
        <w:numPr>
          <w:ilvl w:val="0"/>
          <w:numId w:val="0"/>
        </w:numPr>
        <w:ind w:hanging="0" w:left="0"/>
        <w:jc w:val="center"/>
        <w:rPr>
          <w:rFonts w:ascii="PT Astra Serif" w:hAnsi="PT Astra Serif"/>
          <w:b/>
          <w:color w:val="000000"/>
          <w:sz w:val="28"/>
          <w:szCs w:val="28"/>
          <w:shd w:fill="auto" w:val="clear"/>
        </w:rPr>
      </w:pPr>
      <w:r>
        <w:rPr>
          <w:rFonts w:ascii="PT Astra Serif" w:hAnsi="PT Astra Serif"/>
          <w:b/>
          <w:color w:val="000000"/>
          <w:sz w:val="28"/>
          <w:szCs w:val="28"/>
          <w:shd w:fill="auto" w:val="clear"/>
        </w:rPr>
        <w:t>выполнения административных процедур</w:t>
      </w:r>
    </w:p>
    <w:p>
      <w:pPr>
        <w:pStyle w:val="Normal4f7442aa-49e4-4881-8f6e-0bcda56d6f18"/>
        <w:numPr>
          <w:ilvl w:val="0"/>
          <w:numId w:val="0"/>
        </w:numPr>
        <w:ind w:hanging="0" w:left="0"/>
        <w:jc w:val="center"/>
        <w:rPr>
          <w:rFonts w:ascii="PT Astra Serif" w:hAnsi="PT Astra Serif"/>
          <w:b/>
          <w:color w:val="auto"/>
          <w:sz w:val="28"/>
          <w:szCs w:val="28"/>
          <w:highlight w:val="none"/>
          <w:shd w:fill="auto" w:val="clear"/>
        </w:rPr>
      </w:pPr>
      <w:r>
        <w:rPr>
          <w:rFonts w:ascii="PT Astra Serif" w:hAnsi="PT Astra Serif"/>
          <w:b/>
          <w:color w:val="000000"/>
          <w:sz w:val="28"/>
          <w:szCs w:val="28"/>
          <w:shd w:fill="auto" w:val="clear"/>
        </w:rPr>
      </w:r>
    </w:p>
    <w:p>
      <w:pPr>
        <w:pStyle w:val="Normal4f7442aa-49e4-4881-8f6e-0bcda56d6f18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Перечень осуществляемых при предоставлении </w:t>
      </w:r>
    </w:p>
    <w:p>
      <w:pPr>
        <w:pStyle w:val="Normal4f7442aa-49e4-4881-8f6e-0bcda56d6f18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Услуги административных процедур</w:t>
      </w:r>
    </w:p>
    <w:p>
      <w:pPr>
        <w:pStyle w:val="Normal4f7442aa-49e4-4881-8f6e-0bcda56d6f18"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85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 xml:space="preserve">При предоставлении Услуги осуществляются следующие административные процедуры: </w:t>
      </w:r>
    </w:p>
    <w:p>
      <w:pPr>
        <w:pStyle w:val="Normal4f7442aa-49e4-4881-8f6e-0bcda56d6f18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а) профилирование заявителя;</w:t>
      </w:r>
    </w:p>
    <w:p>
      <w:pPr>
        <w:pStyle w:val="Normal4f7442aa-49e4-4881-8f6e-0bcda56d6f18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б) прием заявления и документов и (или) информации, необходимых для предоставления Услуги;</w:t>
      </w:r>
    </w:p>
    <w:p>
      <w:pPr>
        <w:pStyle w:val="Normal4f7442aa-49e4-4881-8f6e-0bcda56d6f18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в) межведомственное информационное взаимодействие;</w:t>
      </w:r>
    </w:p>
    <w:p>
      <w:pPr>
        <w:pStyle w:val="Normal4f7442aa-49e4-4881-8f6e-0bcda56d6f18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855" w:leader="none"/>
          <w:tab w:val="left" w:pos="900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г) принятие решения о предоставлении (об отказе в предоставлении) Услуги;</w:t>
      </w:r>
    </w:p>
    <w:p>
      <w:pPr>
        <w:pStyle w:val="Normal4f7442aa-49e4-4881-8f6e-0bcda56d6f18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д) предоставление результата Услуги.</w:t>
      </w:r>
    </w:p>
    <w:p>
      <w:pPr>
        <w:pStyle w:val="Normal4f7442aa-49e4-4881-8f6e-0bcda56d6f18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suppressAutoHyphens w:val="true"/>
        <w:overflowPunct w:val="true"/>
        <w:bidi w:val="0"/>
        <w:ind w:hanging="0" w:left="0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Профилирование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ind w:hanging="0" w:left="0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3"/>
        </w:numPr>
        <w:suppressAutoHyphens w:val="true"/>
        <w:overflowPunct w:val="true"/>
        <w:bidi w:val="0"/>
        <w:ind w:firstLine="850" w:lef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Категория (признак) определяется путем профилирования заявителя, в процессе которого устанавливается результат Услуги, за предоставлением которого он обратился. Идентификаторы категорий (признаков) заявителя, приведены в таблице № 2 приложения № 1 к настоящему административному регламенту.</w:t>
      </w:r>
    </w:p>
    <w:p>
      <w:pPr>
        <w:pStyle w:val="Normal4f7442aa-49e4-4881-8f6e-0bcda56d6f18"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85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Профилирование осуществляется:</w:t>
      </w:r>
    </w:p>
    <w:p>
      <w:pPr>
        <w:pStyle w:val="Normal4f7442aa-49e4-4881-8f6e-0bcda56d6f18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 xml:space="preserve">            </w:t>
      </w:r>
      <w:r>
        <w:rPr>
          <w:rFonts w:ascii="PT Astra Serif" w:hAnsi="PT Astra Serif"/>
          <w:b w:val="false"/>
          <w:bCs w:val="false"/>
          <w:sz w:val="28"/>
          <w:szCs w:val="28"/>
        </w:rPr>
        <w:t>а) в уполномоченном органе;</w:t>
      </w:r>
    </w:p>
    <w:p>
      <w:pPr>
        <w:pStyle w:val="Normal4f7442aa-49e4-4881-8f6e-0bcda56d6f18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 xml:space="preserve">            </w:t>
      </w:r>
      <w:r>
        <w:rPr>
          <w:rFonts w:ascii="PT Astra Serif" w:hAnsi="PT Astra Serif"/>
          <w:b w:val="false"/>
          <w:bCs w:val="false"/>
          <w:sz w:val="28"/>
          <w:szCs w:val="28"/>
        </w:rPr>
        <w:t>б) в МФЦ;</w:t>
      </w:r>
    </w:p>
    <w:p>
      <w:pPr>
        <w:pStyle w:val="Normal4f7442aa-49e4-4881-8f6e-0bcda56d6f18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 xml:space="preserve">            </w:t>
      </w:r>
      <w:r>
        <w:rPr>
          <w:rFonts w:ascii="PT Astra Serif" w:hAnsi="PT Astra Serif"/>
          <w:b w:val="false"/>
          <w:bCs w:val="false"/>
          <w:sz w:val="28"/>
          <w:szCs w:val="28"/>
        </w:rPr>
        <w:t>в) посредством единого портала.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firstLine="85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</w:r>
    </w:p>
    <w:p>
      <w:pPr>
        <w:pStyle w:val="ListParagraphce1fd3f6-d7f7-4359-a422-aeb1142ff497"/>
        <w:keepLines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spacing w:lineRule="auto" w:line="240" w:before="0" w:after="0"/>
        <w:ind w:hanging="0" w:left="0" w:right="0"/>
        <w:contextualSpacing/>
        <w:jc w:val="center"/>
        <w:rPr>
          <w:b/>
          <w:bCs/>
          <w:sz w:val="28"/>
          <w:szCs w:val="28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 xml:space="preserve">Прием заявления и документов и (или) информации, 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spacing w:lineRule="auto" w:line="240" w:before="0" w:after="0"/>
        <w:ind w:hanging="0" w:left="0" w:right="0"/>
        <w:contextualSpacing/>
        <w:jc w:val="center"/>
        <w:rPr>
          <w:b/>
          <w:bCs/>
          <w:sz w:val="28"/>
          <w:szCs w:val="28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необходимых для предоставления Услуги</w:t>
      </w:r>
    </w:p>
    <w:p>
      <w:pPr>
        <w:pStyle w:val="Normal4f7442aa-49e4-4881-8f6e-0bcda56d6f18"/>
        <w:tabs>
          <w:tab w:val="clear" w:pos="708"/>
          <w:tab w:val="left" w:pos="284" w:leader="none"/>
          <w:tab w:val="left" w:pos="1134" w:leader="none"/>
        </w:tabs>
        <w:spacing w:before="0" w:after="0"/>
        <w:ind w:firstLine="85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</w:r>
    </w:p>
    <w:p>
      <w:pPr>
        <w:pStyle w:val="Normal4f7442aa-49e4-4881-8f6e-0bcda56d6f18"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85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Исчерпывающий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заявления, документов и (или) информации приведены в таблице № 3 приложения № 1 к настоящему административному регламенту.</w:t>
      </w:r>
    </w:p>
    <w:p>
      <w:pPr>
        <w:pStyle w:val="Normal4f7442aa-49e4-4881-8f6e-0bcda56d6f18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 xml:space="preserve">     </w:t>
      </w:r>
      <w:r>
        <w:rPr>
          <w:rFonts w:ascii="PT Astra Serif" w:hAnsi="PT Astra Serif"/>
          <w:b w:val="false"/>
          <w:bCs w:val="false"/>
          <w:sz w:val="28"/>
          <w:szCs w:val="28"/>
        </w:rPr>
        <w:t>Представление заявителем заявления и документов осуществляется в соответствии с формой, предусмотренной приложением № 2 к настоящему административному регламенту.</w:t>
      </w:r>
    </w:p>
    <w:p>
      <w:pPr>
        <w:pStyle w:val="Normal4f7442aa-49e4-4881-8f6e-0bcda56d6f18"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85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Способами установления личности (идентификации) заявителя являются:</w:t>
      </w:r>
    </w:p>
    <w:p>
      <w:pPr>
        <w:pStyle w:val="Normal4f7442aa-49e4-4881-8f6e-0bcda56d6f18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 xml:space="preserve">            </w:t>
      </w:r>
      <w:r>
        <w:rPr>
          <w:rFonts w:ascii="PT Astra Serif" w:hAnsi="PT Astra Serif"/>
          <w:b w:val="false"/>
          <w:bCs w:val="false"/>
          <w:sz w:val="28"/>
          <w:szCs w:val="28"/>
        </w:rPr>
        <w:t>а) в уполномоченном органе - документ, удостоверяющий личность;</w:t>
      </w:r>
    </w:p>
    <w:p>
      <w:pPr>
        <w:pStyle w:val="Normal4f7442aa-49e4-4881-8f6e-0bcda56d6f18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 xml:space="preserve">            </w:t>
      </w:r>
      <w:r>
        <w:rPr>
          <w:rFonts w:ascii="PT Astra Serif" w:hAnsi="PT Astra Serif"/>
          <w:b w:val="false"/>
          <w:bCs w:val="false"/>
          <w:sz w:val="28"/>
          <w:szCs w:val="28"/>
        </w:rPr>
        <w:t>б) в МФЦ - документ, удостоверяющий личность;</w:t>
      </w:r>
    </w:p>
    <w:p>
      <w:pPr>
        <w:pStyle w:val="Normal4f7442aa-49e4-4881-8f6e-0bcda56d6f18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ab/>
        <w:t xml:space="preserve">  в) посредством единого портала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ЕСИА);</w:t>
      </w:r>
    </w:p>
    <w:p>
      <w:pPr>
        <w:pStyle w:val="Normal4f7442aa-49e4-4881-8f6e-0bcda56d6f18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г) посредством почтовой связи - копия документа удостоверяющего личность, заверенная в порядке, установленном законодательством Российской Федерации.</w:t>
      </w:r>
    </w:p>
    <w:p>
      <w:pPr>
        <w:pStyle w:val="Normal4f7442aa-49e4-4881-8f6e-0bcda56d6f18"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85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Основания для принятия решения об отказе в приеме заявления и документов и (или) информации законодательством Российской Федерации не предусмотрены.</w:t>
      </w:r>
    </w:p>
    <w:p>
      <w:pPr>
        <w:pStyle w:val="Normal4f7442aa-49e4-4881-8f6e-0bcda56d6f18"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85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Услуга не предусматривает возможности приема уполномоченным органом или МФЦ заявления и документов, необходимых для предоставления Услуги, по выбору заявителя, независимо от его места жительства или места пребывания.</w:t>
      </w:r>
    </w:p>
    <w:p>
      <w:pPr>
        <w:pStyle w:val="Normal4f7442aa-49e4-4881-8f6e-0bcda56d6f18"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85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>
      <w:pPr>
        <w:pStyle w:val="Normal4f7442aa-49e4-4881-8f6e-0bcda56d6f18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а) в  уполномоченном органе - 1 рабочий день;</w:t>
      </w:r>
    </w:p>
    <w:p>
      <w:pPr>
        <w:pStyle w:val="Normal4f7442aa-49e4-4881-8f6e-0bcda56d6f18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б) в МФЦ - 1 рабочий день;</w:t>
      </w:r>
    </w:p>
    <w:p>
      <w:pPr>
        <w:pStyle w:val="Normal4f7442aa-49e4-4881-8f6e-0bcda56d6f18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в) посредством почтовой связи - 1 рабочий день;</w:t>
      </w:r>
    </w:p>
    <w:p>
      <w:pPr>
        <w:pStyle w:val="Normal4f7442aa-49e4-4881-8f6e-0bcda56d6f18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г) посредством единого портала - 1 рабочий день.</w:t>
      </w:r>
    </w:p>
    <w:p>
      <w:pPr>
        <w:pStyle w:val="Normal4f7442aa-49e4-4881-8f6e-0bcda56d6f18"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850" w:left="0" w:right="-1"/>
        <w:contextualSpacing/>
        <w:jc w:val="both"/>
        <w:rPr>
          <w:rFonts w:ascii="PT Astra Serif" w:hAnsi="PT Astra Serif"/>
          <w:b w:val="false"/>
          <w:bCs w:val="false"/>
          <w:sz w:val="28"/>
          <w:szCs w:val="28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Заявление, поступившее в нерабочее время, регистрируется в первый рабочий день.</w:t>
      </w:r>
    </w:p>
    <w:p>
      <w:pPr>
        <w:pStyle w:val="Normal4f7442aa-49e4-4881-8f6e-0bcda56d6f18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both"/>
        <w:rPr>
          <w:rFonts w:ascii="PT Astra Serif" w:hAnsi="PT Astra Serif" w:eastAsia="Times New Roman" w:cs="Times New Roman"/>
          <w:color w:val="FF4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FF4000"/>
          <w:kern w:val="0"/>
          <w:sz w:val="28"/>
          <w:szCs w:val="28"/>
          <w:shd w:fill="auto" w:val="clear"/>
          <w:lang w:val="ru-RU" w:eastAsia="ru-RU" w:bidi="ar-SA"/>
        </w:rPr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  <w:b/>
          <w:bCs/>
          <w:color w:val="000000"/>
          <w:sz w:val="28"/>
          <w:szCs w:val="28"/>
          <w:highlight w:val="none"/>
          <w:shd w:fill="auto" w:val="clear"/>
        </w:rPr>
      </w:pPr>
      <w:r>
        <w:rPr>
          <w:rFonts w:ascii="PT Astra Serif" w:hAnsi="PT Astra Serif"/>
          <w:b/>
          <w:bCs/>
          <w:color w:val="000000"/>
          <w:sz w:val="28"/>
          <w:szCs w:val="28"/>
          <w:shd w:fill="auto" w:val="clear"/>
        </w:rPr>
        <w:t>Межведомственное информационное взаимодействие</w:t>
      </w:r>
    </w:p>
    <w:p>
      <w:pPr>
        <w:pStyle w:val="ListParagraph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  <w:b/>
          <w:bCs/>
          <w:color w:val="000000"/>
          <w:sz w:val="28"/>
          <w:szCs w:val="28"/>
          <w:highlight w:val="none"/>
          <w:shd w:fill="auto" w:val="clear"/>
        </w:rPr>
      </w:pPr>
      <w:r>
        <w:rPr>
          <w:rFonts w:ascii="PT Astra Serif" w:hAnsi="PT Astra Serif"/>
          <w:b/>
          <w:bCs/>
          <w:color w:val="000000"/>
          <w:sz w:val="28"/>
          <w:szCs w:val="28"/>
          <w:shd w:fill="auto" w:val="clear"/>
        </w:rPr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Для получения Услуги при осуществлении межведомственного информационного взаимодействия посредством СМЭВ запрашиваются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следующие виды сведений в:</w:t>
      </w:r>
    </w:p>
    <w:p>
      <w:pPr>
        <w:pStyle w:val="ListParagraphce1fd3f6-d7f7-4359-a422-aeb1142ff497"/>
        <w:keepLines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- ФНС России - сведения о документе, удостоверяющем личность гражданина Российской Федерации на территории Российской Федерации; сведения о регистрационном учете по месту жительства и месту пребывания гражданина Российской Федерации в пределах Российской Федерации; сведения о государственной регистрации смерти; сведения о государственной регистрации заключения (расторжения) брака; сведения о государственной регистрации перемены имени;</w:t>
      </w:r>
    </w:p>
    <w:p>
      <w:pPr>
        <w:pStyle w:val="ListParagraphce1fd3f6-d7f7-4359-a422-aeb1142ff497"/>
        <w:keepLines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 w:before="0" w:after="0"/>
        <w:ind w:firstLine="68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-</w:t>
      </w:r>
      <w:r>
        <w:rPr>
          <w:rFonts w:eastAsia="Times New Roman" w:cs="Times New Roman" w:ascii="PT Astra Serif" w:hAnsi="PT Astra Serif"/>
          <w:color w:val="000000"/>
          <w:kern w:val="0"/>
          <w:sz w:val="24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е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диной базе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компонентов, оператором которой является </w:t>
      </w:r>
      <w:r>
        <w:rPr>
          <w:rStyle w:val="Strong"/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 Федеральное медико-биологическое агентство (далее — единая база донорства ФМБА России)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- сведения о награждении лица, имеющего право на ежегодную денежную выплату;</w:t>
      </w:r>
    </w:p>
    <w:p>
      <w:pPr>
        <w:pStyle w:val="ListParagraphce1fd3f6-d7f7-4359-a422-aeb1142ff497"/>
        <w:keepLines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ascii="PT Astra Serif" w:hAnsi="PT Astra Serif"/>
          <w:color w:val="000000"/>
        </w:rPr>
        <w:t xml:space="preserve">-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МВД России или ФНС России - сведения о документе, удостоверяющем личность гражданина Российской Федерации на территории Российской Федерации; сведения о регистрации по месту жительства. 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Межведомственный информационный запрос направляется не позднее 1 рабочего дня с даты регистрации заявления и документов для предоставления Услуги.</w:t>
      </w:r>
    </w:p>
    <w:p>
      <w:pPr>
        <w:pStyle w:val="ListParagraph"/>
        <w:widowControl/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hanging="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"/>
        <w:widowControl/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Принятие решения</w:t>
      </w:r>
    </w:p>
    <w:p>
      <w:pPr>
        <w:pStyle w:val="ListParagraph"/>
        <w:widowControl/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о предоставлении (об отказе в предоставлении) Услуги</w:t>
      </w:r>
    </w:p>
    <w:p>
      <w:pPr>
        <w:pStyle w:val="ListParagraph"/>
        <w:widowControl/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Исчерпывающий перечень оснований для отказа в предоставлении Услуги приведен в таблице № 4 приложения № 1 к настоящему административному регламенту.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 w:before="0" w:after="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 xml:space="preserve">Срок принятия решения при подаче заявления либо заявления и документов составляет 1 рабочий день со дня получения уполномоченным органом сведений, предусмотренным </w:t>
      </w:r>
      <w:r>
        <w:rPr>
          <w:rFonts w:eastAsia="Times New Roman" w:cs="Times New Roman" w:ascii="PT Astra Serif" w:hAnsi="PT Astra Serif"/>
          <w:b w:val="false"/>
          <w:strike w:val="false"/>
          <w:dstrike w:val="false"/>
          <w:color w:val="000000"/>
          <w:kern w:val="0"/>
          <w:sz w:val="28"/>
          <w:szCs w:val="28"/>
          <w:u w:val="none"/>
          <w:effect w:val="none"/>
          <w:lang w:val="ru-RU" w:eastAsia="ru-RU" w:bidi="ar-SA"/>
        </w:rPr>
        <w:t>пунктом 39</w:t>
      </w:r>
      <w:r>
        <w:rPr>
          <w:rFonts w:eastAsia="Times New Roman" w:cs="Times New Roman" w:ascii="PT Astra Serif" w:hAnsi="PT Astra Serif"/>
          <w:b w:val="false"/>
          <w:strike w:val="false"/>
          <w:dstrike w:val="false"/>
          <w:color w:val="0000FF"/>
          <w:kern w:val="0"/>
          <w:sz w:val="28"/>
          <w:szCs w:val="28"/>
          <w:u w:val="none"/>
          <w:effect w:val="none"/>
          <w:lang w:val="ru-RU" w:eastAsia="ru-RU" w:bidi="ar-SA"/>
        </w:rPr>
        <w:t xml:space="preserve"> </w:t>
      </w: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>настоящего административного регламента.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 w:before="0" w:after="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Решение об установлении ежегодной денежной выплаты принимается один раз. 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 w:before="0" w:after="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Установление ежегодной денежной выплаты осуществляется со дня обращения за ней, не ранее возникновения права на ежегодную денежную выплату.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Принятие решения о предоставлении Услуги осуществляется в срок, не превышающий 7 рабочих дней со дня приема уполномоченным органом соответствующего заявления и необходимых документов.</w:t>
      </w:r>
    </w:p>
    <w:p>
      <w:pPr>
        <w:pStyle w:val="ListParagraph"/>
        <w:widowControl/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Предоставление результата Услуги</w:t>
      </w:r>
    </w:p>
    <w:p>
      <w:pPr>
        <w:pStyle w:val="ListParagraph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При принятии решения об отказе в назначении ежегодной денежной выплаты уполномоченный орган направляет один экземпляр указанного решения гражданину в течение 1 рабочего дня со дня его принятия способом, обеспечивающим возможность подтвердить факт его получения, указанным в заявлении. 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Сведения о принятии решения о предоставлении Услуги направляются заявителю по его требованию только в случаях его непосредственного обращения в уполномоченный орган, или посредством телефонной связи, или посредством ответов на письменные обращения в уполномоченный орган, а при обращении через единый портал — в обязательном порядке.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Результат предоставления Услуги не может быть предоставлен уполномоченным органом по выбору заявителя независимо от его места жительства или места пребывания.</w:t>
      </w:r>
    </w:p>
    <w:p>
      <w:pPr>
        <w:pStyle w:val="ListParagraph"/>
        <w:widowControl/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"/>
        <w:widowControl/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center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 xml:space="preserve">Предоставление услуги в упреждающем (проактивном) режиме </w:t>
      </w:r>
    </w:p>
    <w:p>
      <w:pPr>
        <w:pStyle w:val="ListParagraph"/>
        <w:widowControl/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(при наличии технической возможности)</w:t>
      </w:r>
    </w:p>
    <w:p>
      <w:pPr>
        <w:pStyle w:val="ListParagraph"/>
        <w:widowControl/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Ежегодная денежная выплата устанавливается лицу, имеющему право на ежегодную денежную выплату, в упреждающем (проактивном) режиме при наличии его согласия в ЕСИА посредством единого портала на использование указанных им реквизитов банковских счетов в целях получения мер социальной защиты.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Уполномоченный орган в целях осуществления ежегодной денежной выплаты в упреждающем (проактивном) режиме:</w:t>
      </w:r>
    </w:p>
    <w:p>
      <w:pPr>
        <w:pStyle w:val="Normal"/>
        <w:keepLines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1) не реже 1 раза в 5 рабочих дней проверяет наличие сведений о лицах, имеющих право на ежегодную денежную выплату, проживающих на территории Кемеровской области - Кузбасса, на витрине данных единой базы донорства;</w:t>
      </w:r>
    </w:p>
    <w:p>
      <w:pPr>
        <w:pStyle w:val="ListParagraphce1fd3f6-d7f7-4359-a422-aeb1142ff497"/>
        <w:keepLines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2) при наличии сведений, указанных в подпункте 1 настоящего пункта, посредством СМЭВ не позднее 2 рабочих дней со дня установления указанных сведений запрашивает сведения, предусмотренные пунктом 39 настоящего административного регламента;</w:t>
      </w:r>
    </w:p>
    <w:p>
      <w:pPr>
        <w:pStyle w:val="Normal"/>
        <w:keepLines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spacing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ascii="PT Astra Serif" w:hAnsi="PT Astra Serif"/>
          <w:sz w:val="28"/>
          <w:szCs w:val="28"/>
        </w:rPr>
        <w:t>3)</w:t>
      </w:r>
      <w:r>
        <w:rPr/>
        <w:t xml:space="preserve"> </w:t>
      </w:r>
      <w:r>
        <w:rPr>
          <w:rFonts w:ascii="PT Astra Serif" w:hAnsi="PT Astra Serif"/>
          <w:sz w:val="28"/>
          <w:szCs w:val="28"/>
        </w:rPr>
        <w:t>получает в государственной информационной системе «Единая централизованная цифровая платформа в социальной сфере» (далее - ЕЦП) сведения о реквизитах банковского счета.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Основанием для начала предоставления Услуги в упреждающем (проактивном) режиме является поступление из единой базы донорства сведений о лицах, имеющих право на ежегодную денежную выплату, проживающих на территории  Кемеровской области — Кузбасса.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Ежегодная денежная выплата в упреждающем (проактивном) режиме устанавливается уполномоченным органом в течение 1 рабочего дня со дня поступления сведений, предусмотренных пунктом 39 настоящего административного регламента.</w:t>
      </w:r>
    </w:p>
    <w:p>
      <w:pPr>
        <w:pStyle w:val="ListParagraphce1fd3f6-d7f7-4359-a422-aeb1142ff497"/>
        <w:keepLines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Установление ежегодной денежной выплаты осуществляется со дня обращения за ней либо со дня размещения на витрине данных единой базы донорства сведений о лицах, имеющих право на ежегодную денежную выплату, но не ранее возникновения права на ежегодную выплату.</w:t>
      </w:r>
    </w:p>
    <w:p>
      <w:pPr>
        <w:pStyle w:val="ListParagraphce1fd3f6-d7f7-4359-a422-aeb1142ff497"/>
        <w:keepLines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/>
        <w:t xml:space="preserve"> </w:t>
      </w:r>
      <w:r>
        <w:rPr>
          <w:sz w:val="28"/>
          <w:szCs w:val="28"/>
        </w:rPr>
        <w:t>Уполномоченный орган в течение 1 рабочего дня после установления ежегодной денежной выплаты в упреждающем (проактивном) режиме вносит сведения о принятом решении в ЕЦП и направляет заявителю в личный кабинет на едином портале решение, подписанное усиленной квалифицированной электронной подписью лица, уполномоченного на принятие решения, а также иным способом, выбранным заявителем.</w:t>
      </w:r>
    </w:p>
    <w:p>
      <w:pPr>
        <w:pStyle w:val="ListParagraph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spacing w:lineRule="auto" w:line="240"/>
        <w:ind w:hanging="0" w:left="0" w:right="-1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IV. Способы информирования заявителя об изменении статуса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ind w:hanging="0" w:left="0" w:right="-1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рассмотрения заявления о предоставлении Услуги</w:t>
      </w:r>
    </w:p>
    <w:p>
      <w:pPr>
        <w:pStyle w:val="ListParagraph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Информирование заявителя об изменении статуса рассмотрения заявления о предоставлении Услуги осуществляется специалистом уполномоченного органа при личном обращении заявителя в уполномоченный орган. 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 обращении заявителя посредством единого портала способом информирования заявителя об изменении статуса рассмотрения заявления о предоставлении Услуги является направление уведомления в личный кабинет заявителя на едином портале. 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С помощью единого портала заявителю направляется: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hanging="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- уведомление о получении заявления и документов, необходимых для предоставления Услуги;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hanging="0" w:left="0" w:right="0"/>
        <w:jc w:val="both"/>
        <w:rPr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- уведомление о завершении рассмотрения с положительным или отрицательным результатом.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hanging="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"/>
        <w:widowControl/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true"/>
        <w:bidi w:val="0"/>
        <w:spacing w:lineRule="auto" w:line="240"/>
        <w:ind w:firstLine="850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br w:type="page"/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2"/>
        <w:gridCol w:w="5057"/>
      </w:tblGrid>
      <w:tr>
        <w:trPr/>
        <w:tc>
          <w:tcPr>
            <w:tcW w:w="4512" w:type="dxa"/>
            <w:tcBorders/>
          </w:tcPr>
          <w:p>
            <w:pPr>
              <w:pStyle w:val="Normal"/>
              <w:pageBreakBefore/>
              <w:spacing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tcW w:w="5057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227" w:right="-57"/>
              <w:jc w:val="right"/>
              <w:rPr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Приложение № 1</w:t>
            </w:r>
          </w:p>
          <w:p>
            <w:pPr>
              <w:pStyle w:val="Normal"/>
              <w:widowControl/>
              <w:tabs>
                <w:tab w:val="clear" w:pos="708"/>
                <w:tab w:val="left" w:pos="4935" w:leader="none"/>
              </w:tabs>
              <w:suppressAutoHyphens w:val="true"/>
              <w:bidi w:val="0"/>
              <w:spacing w:lineRule="auto" w:line="240" w:before="0" w:after="0"/>
              <w:ind w:hanging="0" w:left="227" w:right="0"/>
              <w:jc w:val="right"/>
              <w:rPr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 административному регламенту, утвержденному приказом Министерства труда и социальной защиты Кузбасса</w:t>
            </w:r>
          </w:p>
          <w:p>
            <w:pPr>
              <w:pStyle w:val="Normal"/>
              <w:spacing w:lineRule="auto" w:line="240"/>
              <w:jc w:val="right"/>
              <w:rPr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от _____________ № ____________</w:t>
            </w:r>
          </w:p>
        </w:tc>
      </w:tr>
    </w:tbl>
    <w:p>
      <w:pPr>
        <w:pStyle w:val="Heading1"/>
        <w:numPr>
          <w:ilvl w:val="0"/>
          <w:numId w:val="5"/>
        </w:numPr>
        <w:spacing w:lineRule="auto" w:line="240" w:before="360" w:after="0"/>
        <w:ind w:hanging="0" w:left="720"/>
        <w:jc w:val="center"/>
        <w:rPr>
          <w:sz w:val="24"/>
          <w:szCs w:val="24"/>
        </w:rPr>
      </w:pPr>
      <w:r>
        <w:rPr>
          <w:rFonts w:ascii="PT Astra Serif" w:hAnsi="PT Astra Serif"/>
          <w:b/>
          <w:color w:val="000000"/>
          <w:sz w:val="24"/>
          <w:szCs w:val="24"/>
        </w:rPr>
        <w:t>Таблица № 1. Перечень условных обозначений и сокращений</w:t>
      </w:r>
    </w:p>
    <w:p>
      <w:pPr>
        <w:pStyle w:val="Normal"/>
        <w:numPr>
          <w:ilvl w:val="0"/>
          <w:numId w:val="0"/>
        </w:numPr>
        <w:spacing w:lineRule="auto" w:line="240" w:before="18" w:after="0"/>
        <w:ind w:hanging="0" w:left="720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</w:p>
    <w:tbl>
      <w:tblPr>
        <w:tblW w:w="9810" w:type="dxa"/>
        <w:jc w:val="left"/>
        <w:tblInd w:w="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486"/>
        <w:gridCol w:w="2323"/>
      </w:tblGrid>
      <w:tr>
        <w:trPr/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5"/>
              </w:numPr>
              <w:spacing w:lineRule="auto" w:line="240"/>
              <w:jc w:val="center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Полное наименование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numPr>
                <w:ilvl w:val="0"/>
                <w:numId w:val="5"/>
              </w:numPr>
              <w:suppressAutoHyphens w:val="true"/>
              <w:bidi w:val="0"/>
              <w:spacing w:lineRule="auto" w:line="240" w:before="0" w:after="0"/>
              <w:ind w:hanging="57" w:left="57" w:right="113"/>
              <w:jc w:val="center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Сокращенное наименование</w:t>
            </w:r>
          </w:p>
        </w:tc>
      </w:tr>
      <w:tr>
        <w:trPr/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81ce3dc-bb70-4ed9-99d7-8248ae041cff"/>
              <w:widowControl/>
              <w:suppressAutoHyphens w:val="true"/>
              <w:overflowPunct w:val="true"/>
              <w:bidi w:val="0"/>
              <w:spacing w:lineRule="auto" w:line="240" w:before="0" w:after="0"/>
              <w:ind w:hanging="0" w:left="0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" w:hAnsi="PT Astra Serif"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Назначение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113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услуга</w:t>
            </w:r>
          </w:p>
        </w:tc>
      </w:tr>
      <w:tr>
        <w:trPr/>
        <w:tc>
          <w:tcPr>
            <w:tcW w:w="7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81ce3dc-bb70-4ed9-99d7-8248ae041cff"/>
              <w:ind w:hanging="0" w:left="0" w:right="0"/>
              <w:jc w:val="both"/>
              <w:rPr/>
            </w:pPr>
            <w:r>
              <w:rPr>
                <w:rFonts w:eastAsia="Times New Roman" w:cs="Times New Roman" w:ascii="PT Astra Serif" w:hAnsi="PT Astra Serif"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лиц</w:t>
            </w:r>
            <w:r>
              <w:rPr>
                <w:rFonts w:ascii="PT Astra Serif" w:hAnsi="PT Astra Serif"/>
                <w:iCs/>
                <w:sz w:val="22"/>
                <w:szCs w:val="22"/>
              </w:rPr>
              <w:t>а, награжденные нагрудным знаком «Почетный донор России»;</w:t>
            </w:r>
          </w:p>
          <w:p>
            <w:pPr>
              <w:pStyle w:val="Normal181ce3dc-bb70-4ed9-99d7-8248ae041cff"/>
              <w:ind w:hanging="0" w:left="0" w:right="0"/>
              <w:jc w:val="both"/>
              <w:rPr>
                <w:rFonts w:ascii="PT Astra Serif" w:hAnsi="PT Astra Serif"/>
                <w:iCs/>
                <w:sz w:val="22"/>
                <w:szCs w:val="22"/>
              </w:rPr>
            </w:pPr>
            <w:r>
              <w:rPr>
                <w:rFonts w:ascii="PT Astra Serif" w:hAnsi="PT Astra Serif"/>
                <w:iCs/>
                <w:sz w:val="22"/>
                <w:szCs w:val="22"/>
              </w:rPr>
              <w:t>граждане Российской Федерации, постоянно проживающие на территории Российской Федерации, награжденные нагрудным знаком «Почетный донор СССР»;</w:t>
            </w:r>
          </w:p>
          <w:p>
            <w:pPr>
              <w:pStyle w:val="Normal181ce3dc-bb70-4ed9-99d7-8248ae041cff"/>
              <w:ind w:hanging="0" w:left="0" w:right="0"/>
              <w:jc w:val="both"/>
              <w:rPr>
                <w:rFonts w:ascii="PT Astra Serif" w:hAnsi="PT Astra Serif"/>
                <w:iCs/>
                <w:sz w:val="22"/>
                <w:szCs w:val="22"/>
              </w:rPr>
            </w:pPr>
            <w:r>
              <w:rPr>
                <w:rFonts w:ascii="PT Astra Serif" w:hAnsi="PT Astra Serif"/>
                <w:iCs/>
                <w:sz w:val="22"/>
                <w:szCs w:val="22"/>
              </w:rPr>
              <w:t>граждане, имеющие статус Почетный донор Донецкой Народной Республики, Почетный донор Луганской Народной Республики или Почетный донор Украины, постоянно проживающие на территории Российской Федерации.</w:t>
            </w:r>
          </w:p>
          <w:p>
            <w:pPr>
              <w:pStyle w:val="Normal181ce3dc-bb70-4ed9-99d7-8248ae041cff"/>
              <w:ind w:hanging="0" w:left="0" w:right="0"/>
              <w:jc w:val="both"/>
              <w:rPr>
                <w:rFonts w:ascii="PT Astra Serif" w:hAnsi="PT Astra Serif"/>
                <w:iCs/>
                <w:sz w:val="22"/>
                <w:szCs w:val="22"/>
              </w:rPr>
            </w:pPr>
            <w:r>
              <w:rPr>
                <w:rFonts w:ascii="PT Astra Serif" w:hAnsi="PT Astra Serif"/>
                <w:iCs/>
                <w:sz w:val="22"/>
                <w:szCs w:val="22"/>
              </w:rPr>
              <w:t>От имени заявителя вправе обратиться его законный представитель или лицо, уполномоченное им на основании доверенности, оформленной в соответствии с законодательством Российской Федерации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113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заявитель</w:t>
            </w:r>
          </w:p>
        </w:tc>
      </w:tr>
      <w:tr>
        <w:trPr/>
        <w:tc>
          <w:tcPr>
            <w:tcW w:w="7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Услуга предоставляется заявителю в соответствии с категориями (признаками) заявителя, которые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57" w:right="11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категории (признаки) заявителей</w:t>
            </w:r>
          </w:p>
        </w:tc>
      </w:tr>
      <w:tr>
        <w:trPr>
          <w:trHeight w:val="767" w:hRule="atLeast"/>
        </w:trPr>
        <w:tc>
          <w:tcPr>
            <w:tcW w:w="7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57" w:right="11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единый портал</w:t>
            </w:r>
          </w:p>
        </w:tc>
      </w:tr>
      <w:tr>
        <w:trPr/>
        <w:tc>
          <w:tcPr>
            <w:tcW w:w="7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57" w:right="11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региональный портал</w:t>
            </w:r>
          </w:p>
        </w:tc>
      </w:tr>
      <w:tr>
        <w:trPr/>
        <w:tc>
          <w:tcPr>
            <w:tcW w:w="7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Категории (признаки) заявителя определяются в результате анкетирования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57" w:right="11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профилирование</w:t>
            </w:r>
          </w:p>
        </w:tc>
      </w:tr>
      <w:tr>
        <w:trPr/>
        <w:tc>
          <w:tcPr>
            <w:tcW w:w="7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Органы, уполномоченные органами местного самоуправления в сфере социальной поддержки и социального обслуживания населения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57" w:right="11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уполномоченный орган</w:t>
            </w:r>
          </w:p>
        </w:tc>
      </w:tr>
      <w:tr>
        <w:trPr/>
        <w:tc>
          <w:tcPr>
            <w:tcW w:w="7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Запрос о предоставлении Услуги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57" w:right="11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заявление</w:t>
            </w:r>
          </w:p>
        </w:tc>
      </w:tr>
      <w:tr>
        <w:trPr/>
        <w:tc>
          <w:tcPr>
            <w:tcW w:w="7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rFonts w:ascii="PT Astra Serif" w:hAnsi="PT Astra Serif"/>
              </w:rPr>
            </w:pPr>
            <w:r>
              <w:rPr>
                <w:rFonts w:eastAsia="Calibri" w:cs="XO Thames" w:ascii="PT Astra Serif" w:hAnsi="PT Astra Serif"/>
                <w:b w:val="false"/>
                <w:color w:val="000000"/>
                <w:sz w:val="24"/>
                <w:szCs w:val="24"/>
                <w:shd w:fill="auto" w:val="clear"/>
                <w:lang w:val="ru-RU" w:eastAsia="en-US" w:bidi="ar-SA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57" w:right="11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МФЦ</w:t>
            </w:r>
          </w:p>
          <w:p>
            <w:pPr>
              <w:pStyle w:val="ConsPlusNormal"/>
              <w:numPr>
                <w:ilvl w:val="0"/>
                <w:numId w:val="0"/>
              </w:numPr>
              <w:ind w:hanging="0" w:left="57" w:right="11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</w:r>
          </w:p>
          <w:p>
            <w:pPr>
              <w:pStyle w:val="ConsPlusNormal"/>
              <w:numPr>
                <w:ilvl w:val="0"/>
                <w:numId w:val="0"/>
              </w:numPr>
              <w:ind w:hanging="0" w:left="57" w:right="11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</w:r>
          </w:p>
        </w:tc>
      </w:tr>
      <w:tr>
        <w:trPr/>
        <w:tc>
          <w:tcPr>
            <w:tcW w:w="74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/>
              <w:numPr>
                <w:ilvl w:val="0"/>
                <w:numId w:val="0"/>
              </w:numPr>
              <w:ind w:hanging="0" w:left="0" w:right="0"/>
              <w:jc w:val="both"/>
              <w:rPr>
                <w:rFonts w:ascii="PT Astra Serif" w:hAnsi="PT Astra Serif" w:cs="XO Thames"/>
                <w:b w:val="false"/>
                <w:color w:val="000000"/>
                <w:szCs w:val="24"/>
                <w:shd w:fill="auto" w:val="clear"/>
                <w:lang w:eastAsia="en-US"/>
              </w:rPr>
            </w:pPr>
            <w:r>
              <w:rPr>
                <w:rFonts w:cs="XO Thames" w:ascii="PT Astra Serif" w:hAnsi="PT Astra Serif"/>
                <w:b w:val="false"/>
                <w:color w:val="000000"/>
                <w:szCs w:val="24"/>
                <w:shd w:fill="auto" w:val="clear"/>
                <w:lang w:eastAsia="en-US"/>
              </w:rPr>
              <w:t>Федеральный закон от 20.07.2012 № 125-ФЗ «О донорстве крови и ее компонентов»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57" w:right="11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Закон</w:t>
            </w:r>
          </w:p>
        </w:tc>
      </w:tr>
      <w:tr>
        <w:trPr/>
        <w:tc>
          <w:tcPr>
            <w:tcW w:w="74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/>
              <w:numPr>
                <w:ilvl w:val="0"/>
                <w:numId w:val="0"/>
              </w:numPr>
              <w:ind w:hanging="0" w:left="0" w:right="0"/>
              <w:jc w:val="both"/>
              <w:rPr>
                <w:rFonts w:ascii="PT Astra Serif" w:hAnsi="PT Astra Serif" w:cs="XO Thames"/>
                <w:b w:val="false"/>
                <w:color w:val="000000"/>
                <w:szCs w:val="24"/>
                <w:shd w:fill="auto" w:val="clear"/>
                <w:lang w:eastAsia="en-US"/>
              </w:rPr>
            </w:pPr>
            <w:r>
              <w:rPr>
                <w:rFonts w:cs="XO Thames" w:ascii="PT Astra Serif" w:hAnsi="PT Astra Serif"/>
                <w:b w:val="false"/>
                <w:color w:val="000000"/>
                <w:szCs w:val="24"/>
                <w:shd w:fill="auto" w:val="clear"/>
                <w:lang w:eastAsia="en-US"/>
              </w:rPr>
              <w:t>Приказ Минздрава России от 06.05.2024 № 228н «Об утверждении Порядка осуществления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numPr>
                <w:ilvl w:val="0"/>
                <w:numId w:val="0"/>
              </w:numPr>
              <w:ind w:hanging="0" w:left="0" w:right="0"/>
              <w:jc w:val="both"/>
              <w:rPr>
                <w:rFonts w:ascii="PT Astra Serif" w:hAnsi="PT Astra Serif" w:cs="XO Thames"/>
                <w:b w:val="false"/>
                <w:color w:val="000000"/>
                <w:szCs w:val="24"/>
                <w:shd w:fill="auto" w:val="clear"/>
                <w:lang w:eastAsia="en-US"/>
              </w:rPr>
            </w:pPr>
            <w:r>
              <w:rPr>
                <w:rFonts w:cs="XO Thames" w:ascii="PT Astra Serif" w:hAnsi="PT Astra Serif"/>
                <w:b w:val="false"/>
                <w:color w:val="000000"/>
                <w:szCs w:val="24"/>
                <w:shd w:fill="auto" w:val="clear"/>
                <w:lang w:eastAsia="en-US"/>
              </w:rPr>
              <w:t>Порядок</w:t>
            </w:r>
          </w:p>
        </w:tc>
      </w:tr>
      <w:tr>
        <w:trPr/>
        <w:tc>
          <w:tcPr>
            <w:tcW w:w="74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/>
              <w:numPr>
                <w:ilvl w:val="0"/>
                <w:numId w:val="0"/>
              </w:numPr>
              <w:ind w:hanging="0" w:left="0" w:right="0"/>
              <w:jc w:val="both"/>
              <w:rPr>
                <w:color w:val="000000"/>
              </w:rPr>
            </w:pPr>
            <w:r>
              <w:rPr>
                <w:rFonts w:cs="XO Thames" w:ascii="PT Astra Serif" w:hAnsi="PT Astra Serif"/>
                <w:b w:val="false"/>
                <w:color w:val="000000"/>
                <w:szCs w:val="24"/>
                <w:shd w:fill="auto" w:val="clear"/>
                <w:lang w:eastAsia="en-US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57" w:right="113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ЕСИА</w:t>
            </w:r>
          </w:p>
        </w:tc>
      </w:tr>
      <w:tr>
        <w:trPr>
          <w:trHeight w:val="858" w:hRule="atLeast"/>
        </w:trPr>
        <w:tc>
          <w:tcPr>
            <w:tcW w:w="74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numPr>
                <w:ilvl w:val="0"/>
                <w:numId w:val="0"/>
              </w:numPr>
              <w:spacing w:before="0" w:after="140"/>
              <w:ind w:hanging="0" w:left="0" w:right="0"/>
              <w:jc w:val="both"/>
              <w:rPr>
                <w:rFonts w:ascii="PT Astra Serif" w:hAnsi="PT Astra Serif" w:cs="XO Thames"/>
                <w:b w:val="false"/>
                <w:color w:val="000000"/>
                <w:szCs w:val="24"/>
                <w:shd w:fill="auto" w:val="clear"/>
                <w:lang w:eastAsia="en-US"/>
              </w:rPr>
            </w:pPr>
            <w:r>
              <w:rPr>
                <w:rFonts w:eastAsia="Calibri" w:cs="XO Thames" w:ascii="PT Astra Serif" w:hAnsi="PT Astra Serif"/>
                <w:b w:val="false"/>
                <w:color w:val="000000"/>
                <w:kern w:val="2"/>
                <w:szCs w:val="24"/>
                <w:shd w:fill="auto" w:val="clear"/>
                <w:lang w:eastAsia="en-US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spacing w:before="171" w:after="171"/>
              <w:ind w:hanging="0" w:left="57" w:right="11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СМЭВ</w:t>
            </w:r>
          </w:p>
        </w:tc>
      </w:tr>
      <w:tr>
        <w:trPr/>
        <w:tc>
          <w:tcPr>
            <w:tcW w:w="74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bidi w:val="0"/>
              <w:spacing w:before="0" w:after="140"/>
              <w:ind w:hanging="0" w:left="0" w:right="0"/>
              <w:jc w:val="both"/>
              <w:rPr>
                <w:rFonts w:ascii="PT Astra Serif" w:hAnsi="PT Astra Serif" w:eastAsia="Calibri" w:cs="XO Thames"/>
                <w:b w:val="false"/>
                <w:color w:val="000000"/>
                <w:kern w:val="2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XO Thames" w:ascii="PT Astra Serif" w:hAnsi="PT Astra Serif"/>
                <w:b w:val="false"/>
                <w:color w:val="000000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Государственная информ</w:t>
            </w:r>
            <w:r>
              <w:rPr>
                <w:rFonts w:eastAsia="Calibri" w:cs="XO Thames" w:ascii="PT Astra Serif" w:hAnsi="PT Astra Serif"/>
                <w:b w:val="false"/>
                <w:color w:val="000000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а</w:t>
            </w:r>
            <w:r>
              <w:rPr>
                <w:rFonts w:eastAsia="Calibri" w:cs="XO Thames" w:ascii="PT Astra Serif" w:hAnsi="PT Astra Serif"/>
                <w:b w:val="false"/>
                <w:color w:val="000000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ционная система «Единая централизованная цифровая платформа в социальной сфере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spacing w:lineRule="auto" w:line="240" w:before="12" w:after="0"/>
              <w:ind w:hanging="0" w:left="57"/>
              <w:jc w:val="both"/>
              <w:rPr/>
            </w:pPr>
            <w:r>
              <w:rPr>
                <w:rFonts w:eastAsia="Calibri" w:eastAsiaTheme="minorHAnsi"/>
                <w:color w:val="auto"/>
                <w:szCs w:val="22"/>
              </w:rPr>
              <w:t xml:space="preserve"> </w:t>
            </w:r>
            <w:r>
              <w:rPr>
                <w:rFonts w:eastAsia="Calibri" w:eastAsiaTheme="minorHAnsi"/>
                <w:color w:val="auto"/>
                <w:szCs w:val="22"/>
              </w:rPr>
              <w:t>ЕЦП</w:t>
            </w:r>
          </w:p>
        </w:tc>
      </w:tr>
      <w:tr>
        <w:trPr/>
        <w:tc>
          <w:tcPr>
            <w:tcW w:w="74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bidi w:val="0"/>
              <w:spacing w:before="0" w:after="140"/>
              <w:ind w:hanging="0" w:left="0" w:right="0"/>
              <w:jc w:val="both"/>
              <w:rPr/>
            </w:pPr>
            <w:r>
              <w:rPr>
                <w:rFonts w:eastAsia="Calibri" w:cs="XO Thames" w:ascii="PT Astra Serif" w:hAnsi="PT Astra Serif"/>
                <w:b w:val="false"/>
                <w:bCs w:val="false"/>
                <w:color w:val="000000"/>
                <w:kern w:val="2"/>
                <w:sz w:val="24"/>
                <w:szCs w:val="24"/>
                <w:lang w:val="ru-RU" w:eastAsia="en-US" w:bidi="ar-SA"/>
              </w:rPr>
              <w:t xml:space="preserve">Единая база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компонентов, оператором которой является </w:t>
            </w:r>
            <w:r>
              <w:rPr>
                <w:rStyle w:val="Strong"/>
                <w:rFonts w:eastAsia="Calibri" w:cs="XO Thames" w:ascii="PT Astra Serif" w:hAnsi="PT Astra Serif"/>
                <w:b w:val="false"/>
                <w:bCs w:val="false"/>
                <w:color w:val="000000"/>
                <w:kern w:val="2"/>
                <w:sz w:val="24"/>
                <w:szCs w:val="24"/>
                <w:lang w:val="ru-RU" w:eastAsia="en-US" w:bidi="ar-SA"/>
              </w:rPr>
              <w:t> Федеральное медико-биологическое агентство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bidi w:val="0"/>
              <w:spacing w:before="0" w:after="140"/>
              <w:ind w:hanging="0" w:left="0" w:right="0"/>
              <w:jc w:val="left"/>
              <w:rPr/>
            </w:pPr>
            <w:r>
              <w:rPr>
                <w:rStyle w:val="Strong"/>
                <w:rFonts w:eastAsia="Calibri" w:cs="XO Thames" w:ascii="PT Astra Serif" w:hAnsi="PT Astra Serif"/>
                <w:b w:val="false"/>
                <w:bCs w:val="false"/>
                <w:color w:val="000000"/>
                <w:kern w:val="2"/>
                <w:sz w:val="24"/>
                <w:szCs w:val="24"/>
                <w:lang w:val="ru-RU" w:eastAsia="en-US" w:bidi="ar-SA"/>
              </w:rPr>
              <w:t>единая база донорства ФМБА России</w:t>
            </w:r>
          </w:p>
        </w:tc>
      </w:tr>
    </w:tbl>
    <w:p>
      <w:pPr>
        <w:sectPr>
          <w:footnotePr>
            <w:numFmt w:val="decimal"/>
          </w:footnotePr>
          <w:type w:val="nextPage"/>
          <w:pgSz w:w="11906" w:h="16838"/>
          <w:pgMar w:left="1440" w:right="656" w:gutter="0" w:header="0" w:top="1440" w:footer="0" w:bottom="14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720"/>
        <w:jc w:val="center"/>
        <w:rPr>
          <w:rFonts w:ascii="PT Astra Serif" w:hAnsi="PT Astra Serif"/>
          <w:b/>
          <w:szCs w:val="24"/>
          <w:lang w:val="ru-RU" w:bidi="ar-SA"/>
        </w:rPr>
      </w:pPr>
      <w:r>
        <w:rPr>
          <w:rFonts w:ascii="PT Astra Serif" w:hAnsi="PT Astra Serif"/>
          <w:b/>
          <w:szCs w:val="24"/>
          <w:lang w:val="ru-RU" w:bidi="ar-SA"/>
        </w:rPr>
        <w:t>Таблица № 2. Идентификаторы категорий (признаков) заявителей</w:t>
      </w:r>
    </w:p>
    <w:p>
      <w:pPr>
        <w:pStyle w:val="Normal"/>
        <w:widowControl/>
        <w:suppressAutoHyphens w:val="true"/>
        <w:bidi w:val="0"/>
        <w:spacing w:lineRule="auto" w:line="240" w:before="18" w:after="0"/>
        <w:ind w:hanging="0" w:left="720"/>
        <w:jc w:val="center"/>
        <w:rPr>
          <w:rFonts w:ascii="PT Astra Serif" w:hAnsi="PT Astra Serif"/>
          <w:b/>
          <w:szCs w:val="24"/>
          <w:lang w:val="ru-RU" w:bidi="ar-SA"/>
        </w:rPr>
      </w:pPr>
      <w:r>
        <w:rPr>
          <w:rFonts w:ascii="PT Astra Serif" w:hAnsi="PT Astra Serif"/>
          <w:b/>
          <w:szCs w:val="24"/>
          <w:lang w:val="ru-RU" w:bidi="ar-SA"/>
        </w:rPr>
      </w:r>
    </w:p>
    <w:tbl>
      <w:tblPr>
        <w:tblW w:w="95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2039"/>
        <w:gridCol w:w="5102"/>
        <w:gridCol w:w="1889"/>
      </w:tblGrid>
      <w:tr>
        <w:trPr>
          <w:tblHeader w:val="true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№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Результат предоставления Услуги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Наименования отдельного признака заявителя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Идентификатор отдельного признака заявителей</w:t>
            </w:r>
          </w:p>
        </w:tc>
      </w:tr>
      <w:tr>
        <w:trPr/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  <w:t>1.</w:t>
            </w:r>
          </w:p>
        </w:tc>
        <w:tc>
          <w:tcPr>
            <w:tcW w:w="2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24773570-807f-48e4-9d7c-f1f46c5ae0f9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left"/>
              <w:rPr/>
            </w:pPr>
            <w:r>
              <w:rPr>
                <w:rFonts w:eastAsia="Times New Roman" w:cs="Times New Roman" w:ascii="PT Astra Serif" w:hAnsi="PT Astra Serif"/>
                <w:iCs/>
                <w:color w:val="000000"/>
                <w:kern w:val="0"/>
                <w:sz w:val="22"/>
                <w:szCs w:val="22"/>
                <w:lang w:eastAsia="ru-RU"/>
              </w:rPr>
              <w:t>Решение о назначении ежегодной денежной выплаты либо решение об отказе в назначении ежегодной денежной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 w:val="false"/>
                <w:sz w:val="22"/>
                <w:szCs w:val="22"/>
              </w:rPr>
              <w:t>гражданин, награжденный нагрудным знаком «Почетный донор России»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1А</w:t>
            </w:r>
          </w:p>
        </w:tc>
      </w:tr>
      <w:tr>
        <w:trPr/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  <w:t>2.</w:t>
            </w:r>
          </w:p>
        </w:tc>
        <w:tc>
          <w:tcPr>
            <w:tcW w:w="203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 w:val="false"/>
                <w:sz w:val="22"/>
                <w:szCs w:val="22"/>
              </w:rPr>
              <w:t>гражданин, награжденный нагрудным знаком «Почетный донор СССР»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2А</w:t>
            </w:r>
          </w:p>
        </w:tc>
      </w:tr>
      <w:tr>
        <w:trPr/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  <w:t>3.</w:t>
            </w:r>
          </w:p>
        </w:tc>
        <w:tc>
          <w:tcPr>
            <w:tcW w:w="203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 w:val="false"/>
                <w:sz w:val="22"/>
                <w:szCs w:val="22"/>
              </w:rPr>
              <w:t>гражданин, имеющий статус Почетный донор Украины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3А</w:t>
            </w:r>
          </w:p>
        </w:tc>
      </w:tr>
      <w:tr>
        <w:trPr/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  <w:t>4.</w:t>
            </w:r>
          </w:p>
        </w:tc>
        <w:tc>
          <w:tcPr>
            <w:tcW w:w="203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 w:val="false"/>
                <w:sz w:val="22"/>
                <w:szCs w:val="22"/>
              </w:rPr>
              <w:t>гражданин, имеющий статус Почетный донор Донецкой Народной Республики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4А</w:t>
            </w:r>
          </w:p>
        </w:tc>
      </w:tr>
      <w:tr>
        <w:trPr/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  <w:t>5.</w:t>
            </w:r>
          </w:p>
        </w:tc>
        <w:tc>
          <w:tcPr>
            <w:tcW w:w="203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 w:val="false"/>
                <w:sz w:val="22"/>
                <w:szCs w:val="22"/>
              </w:rPr>
              <w:t>гражданин, имеющий статус Почетный донор Луганской Народной Республики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5А</w:t>
            </w:r>
          </w:p>
        </w:tc>
      </w:tr>
    </w:tbl>
    <w:p>
      <w:pPr>
        <w:pStyle w:val="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0"/>
        <w:ind w:hanging="0" w:left="720"/>
        <w:jc w:val="center"/>
        <w:outlineLvl w:val="2"/>
        <w:rPr>
          <w:sz w:val="24"/>
          <w:szCs w:val="24"/>
        </w:rPr>
      </w:pPr>
      <w:r>
        <w:rPr>
          <w:rFonts w:eastAsia="" w:cs="" w:ascii="PT Astra Serif" w:hAnsi="PT Astra Serif"/>
          <w:b/>
          <w:i w:val="false"/>
          <w:strike w:val="false"/>
          <w:dstrike w:val="false"/>
          <w:color w:val="000000"/>
          <w:sz w:val="24"/>
          <w:szCs w:val="24"/>
        </w:rPr>
        <w:t xml:space="preserve">Таблица № 3. </w:t>
      </w:r>
      <w:r>
        <w:rPr>
          <w:rFonts w:ascii="PT Astra Serif" w:hAnsi="PT Astra Serif"/>
          <w:b/>
          <w:sz w:val="24"/>
          <w:szCs w:val="24"/>
        </w:rPr>
        <w:t xml:space="preserve">Исчерпывающий перечень документов, </w:t>
      </w:r>
    </w:p>
    <w:p>
      <w:pPr>
        <w:pStyle w:val="Heading1"/>
        <w:numPr>
          <w:ilvl w:val="0"/>
          <w:numId w:val="0"/>
        </w:numPr>
        <w:spacing w:before="0" w:after="0"/>
        <w:ind w:hanging="0" w:left="720"/>
        <w:jc w:val="center"/>
        <w:outlineLvl w:val="2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необходимых для предоставления Услуги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10" w:type="dxa"/>
        <w:jc w:val="left"/>
        <w:tblInd w:w="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741"/>
        <w:gridCol w:w="2458"/>
        <w:gridCol w:w="4846"/>
      </w:tblGrid>
      <w:tr>
        <w:trPr>
          <w:tblHeader w:val="true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№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Идентификатор отдельного признака заявителей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Перечень необходимых для предоставления Услуги документов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Способ предоставления, требования</w:t>
            </w:r>
          </w:p>
        </w:tc>
      </w:tr>
      <w:tr>
        <w:trPr>
          <w:trHeight w:val="809" w:hRule="atLeast"/>
        </w:trPr>
        <w:tc>
          <w:tcPr>
            <w:tcW w:w="9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/>
                <w:i/>
                <w:sz w:val="24"/>
                <w:szCs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>
        <w:trPr/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1.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1А-5А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документы, удостоверяющие личность заявителя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Посредством единого портала -  электронный документ (электронный образ документа) при заполнении интерактивной формы;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Посредством почтовой связи -  </w:t>
            </w: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копия, заверенная в установленном порядке.</w:t>
            </w:r>
          </w:p>
        </w:tc>
      </w:tr>
      <w:tr>
        <w:trPr/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2.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1А-5А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документы, подтверждающие полномочия представителя заявителя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Посредством единого портала -  электронный документ (электронный образ документа) при заполнении интерактивной формы </w:t>
            </w: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с последующим предоставлением подлинников документов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Посредством почтовой связи -  копия, заверенная в установленном порядке.</w:t>
            </w:r>
          </w:p>
        </w:tc>
      </w:tr>
      <w:tr>
        <w:trPr/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3.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1А-5А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документы, подтверждающие реквизиты банковского счета, открытого в кредитной организации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Посредством регионального портала, единого портала - электронный документ (электронный образ документа) либо посредством заполнения интерактивной формы заявления;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Посредством почтовой связи -  копия, заверенная в установленном порядке.</w:t>
            </w:r>
          </w:p>
        </w:tc>
      </w:tr>
      <w:tr>
        <w:trPr/>
        <w:tc>
          <w:tcPr>
            <w:tcW w:w="9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>
        <w:trPr>
          <w:trHeight w:val="222" w:hRule="atLeast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1А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удостоверение «Почетный донор России»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Посредством единого портала -  электронный документ (электронный образ документа) при заполнении интерактивной формы;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Посредством почтовой связи -  копия, заверенная в установленном порядке.</w:t>
            </w:r>
          </w:p>
        </w:tc>
      </w:tr>
      <w:tr>
        <w:trPr/>
        <w:tc>
          <w:tcPr>
            <w:tcW w:w="4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2.</w:t>
            </w:r>
          </w:p>
        </w:tc>
        <w:tc>
          <w:tcPr>
            <w:tcW w:w="17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2А</w:t>
            </w:r>
          </w:p>
        </w:tc>
        <w:tc>
          <w:tcPr>
            <w:tcW w:w="24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удостоверение «Почетный донор СССР» или архивная справка о награждении нагрудным знаком «Почетный донор СССР»</w:t>
            </w:r>
          </w:p>
        </w:tc>
        <w:tc>
          <w:tcPr>
            <w:tcW w:w="48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Посредством единого портала -  электронный документ (электронный образ документа) при заполнении интерактивной формы;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Посредством почтовой связи -  копия, заверенная в установленном порядке.</w:t>
            </w:r>
          </w:p>
        </w:tc>
      </w:tr>
      <w:tr>
        <w:trPr/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3А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удостоверение «Почетный донор Украины» или архивная справка о подтверждении статуса Почетный донор Украины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Посредством единого портала -  электронный документ (электронный образ документа) при заполнении интерактивной формы;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Посредством почтовой связи -  копия, заверенная в установленном порядке.</w:t>
            </w:r>
          </w:p>
        </w:tc>
      </w:tr>
      <w:tr>
        <w:trPr/>
        <w:tc>
          <w:tcPr>
            <w:tcW w:w="4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4.</w:t>
            </w:r>
          </w:p>
        </w:tc>
        <w:tc>
          <w:tcPr>
            <w:tcW w:w="17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4А</w:t>
            </w:r>
          </w:p>
        </w:tc>
        <w:tc>
          <w:tcPr>
            <w:tcW w:w="24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«Почетный донор Донецкой Народной Республики» или архивная справка о подтверждении статуса Почетный донор Донецкой Народной Республики</w:t>
            </w:r>
          </w:p>
        </w:tc>
        <w:tc>
          <w:tcPr>
            <w:tcW w:w="48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Посредством единого портала -  электронный документ (электронный образ документа) при заполнении интерактивной формы;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Посредством почтовой связи -  копия, заверенная в установленном порядке.</w:t>
            </w:r>
          </w:p>
        </w:tc>
      </w:tr>
      <w:tr>
        <w:trPr/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5.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5А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удостоверение «Почетный донор Луганской Народной Республики» или архивная справка о подтверждении статуса Почетный донор Луганской Народной Республики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Посредством единого портала -  электронный документ (электронный образ документа) при заполнении интерактивной формы;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Посредством почтовой связи -  копия, заверенная в установленном порядке.</w:t>
            </w:r>
          </w:p>
        </w:tc>
      </w:tr>
    </w:tbl>
    <w:p>
      <w:pPr>
        <w:pStyle w:val="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80"/>
        <w:ind w:hanging="0" w:left="720"/>
        <w:jc w:val="center"/>
        <w:outlineLvl w:val="2"/>
        <w:rPr>
          <w:rFonts w:ascii="PT Astra Serif" w:hAnsi="PT Astra Serif"/>
          <w:sz w:val="24"/>
          <w:szCs w:val="24"/>
        </w:rPr>
      </w:pPr>
      <w:r>
        <w:rPr>
          <w:rFonts w:eastAsia="" w:cs="" w:ascii="PT Astra Serif" w:hAnsi="PT Astra Serif"/>
          <w:b/>
          <w:i w:val="false"/>
          <w:strike w:val="false"/>
          <w:dstrike w:val="false"/>
          <w:color w:val="000000"/>
          <w:sz w:val="24"/>
          <w:szCs w:val="24"/>
        </w:rPr>
        <w:t xml:space="preserve">Таблица № 4. </w:t>
      </w:r>
      <w:r>
        <w:rPr>
          <w:rFonts w:ascii="PT Astra Serif" w:hAnsi="PT Astra Serif"/>
          <w:b/>
          <w:sz w:val="24"/>
          <w:szCs w:val="24"/>
        </w:rPr>
        <w:t>Исчерпывающий перечень оснований</w:t>
        <w:br/>
        <w:t>для отказа в приеме заявления и документов, необходимых</w:t>
        <w:br/>
        <w:t>для предоставления Услуги, оснований для приостановления</w:t>
        <w:br/>
        <w:t>предоставления Услуги или отказа в предоставлении Услуги</w:t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jc w:val="center"/>
        <w:outlineLvl w:val="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tbl>
      <w:tblPr>
        <w:tblW w:w="8993" w:type="dxa"/>
        <w:jc w:val="left"/>
        <w:tblInd w:w="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4"/>
        <w:gridCol w:w="1268"/>
      </w:tblGrid>
      <w:tr>
        <w:trPr>
          <w:tblHeader w:val="true"/>
          <w:trHeight w:val="900" w:hRule="atLeast"/>
        </w:trPr>
        <w:tc>
          <w:tcPr>
            <w:tcW w:w="8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rPr/>
        <w:tc>
          <w:tcPr>
            <w:tcW w:w="8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sz w:val="24"/>
                <w:szCs w:val="24"/>
              </w:rPr>
              <w:t>Основания для отказа в приеме заявления и документов, необходимых для предоставления Услуги, законодательством Российской Федерации не предусмотрены</w:t>
            </w:r>
          </w:p>
        </w:tc>
      </w:tr>
      <w:tr>
        <w:trPr>
          <w:trHeight w:val="552" w:hRule="atLeast"/>
        </w:trPr>
        <w:tc>
          <w:tcPr>
            <w:tcW w:w="8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114" w:after="11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>
        <w:trPr>
          <w:trHeight w:val="678" w:hRule="atLeast"/>
        </w:trPr>
        <w:tc>
          <w:tcPr>
            <w:tcW w:w="8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>
        <w:trPr>
          <w:trHeight w:val="561" w:hRule="atLeast"/>
        </w:trPr>
        <w:tc>
          <w:tcPr>
            <w:tcW w:w="8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14" w:after="11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>
        <w:trPr>
          <w:trHeight w:val="615" w:hRule="atLeast"/>
        </w:trPr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sz w:val="24"/>
                <w:szCs w:val="24"/>
              </w:rPr>
              <w:t>отсутствие у заявителя права на получение Услуги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sz w:val="24"/>
                <w:szCs w:val="24"/>
              </w:rPr>
              <w:t>1А-5А</w:t>
            </w:r>
          </w:p>
        </w:tc>
      </w:tr>
      <w:tr>
        <w:trPr>
          <w:trHeight w:val="681" w:hRule="atLeast"/>
        </w:trPr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непредставление документов (сведений), необходимых для предоставления Услуги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sz w:val="24"/>
                <w:szCs w:val="24"/>
              </w:rPr>
              <w:t>1А-5А</w:t>
            </w:r>
          </w:p>
        </w:tc>
      </w:tr>
      <w:tr>
        <w:trPr>
          <w:trHeight w:val="429" w:hRule="atLeast"/>
        </w:trPr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ce1fd3f6-d7f7-4359-a422-aeb1142ff497"/>
              <w:widowControl/>
              <w:suppressAutoHyphens w:val="true"/>
              <w:overflowPunct w:val="true"/>
              <w:bidi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наличие в заявлении неполных или недостоверных сведений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sz w:val="24"/>
                <w:szCs w:val="24"/>
              </w:rPr>
              <w:t>1А-5А</w:t>
            </w:r>
          </w:p>
        </w:tc>
      </w:tr>
      <w:tr>
        <w:trPr>
          <w:trHeight w:val="495" w:hRule="atLeast"/>
        </w:trPr>
        <w:tc>
          <w:tcPr>
            <w:tcW w:w="7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sz w:val="24"/>
                <w:szCs w:val="24"/>
              </w:rPr>
              <w:t>подача заявления и документов ненадлежащим лицом</w:t>
            </w:r>
          </w:p>
        </w:tc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sz w:val="24"/>
                <w:szCs w:val="24"/>
              </w:rPr>
              <w:t>1А-5А</w:t>
            </w:r>
          </w:p>
        </w:tc>
      </w:tr>
      <w:tr>
        <w:trPr/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ce1fd3f6-d7f7-4359-a422-aeb1142ff497"/>
              <w:widowControl/>
              <w:suppressAutoHyphens w:val="true"/>
              <w:overflowPunct w:val="true"/>
              <w:bidi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ru-RU" w:eastAsia="ru-RU" w:bidi="ar-SA"/>
              </w:rPr>
      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взаимодействия.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sz w:val="24"/>
                <w:szCs w:val="24"/>
              </w:rPr>
              <w:t>1А-5А</w:t>
            </w:r>
          </w:p>
        </w:tc>
      </w:tr>
    </w:tbl>
    <w:p>
      <w:pPr>
        <w:sectPr>
          <w:footnotePr>
            <w:numFmt w:val="decimal"/>
          </w:footnotePr>
          <w:type w:val="nextPage"/>
          <w:pgSz w:w="11906" w:h="16838"/>
          <w:pgMar w:left="1440" w:right="1440" w:gutter="0" w:header="0" w:top="1470" w:footer="0" w:bottom="1440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pageBreakBefore/>
              <w:spacing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677" w:type="dxa"/>
            <w:tcBorders/>
          </w:tcPr>
          <w:p>
            <w:pPr>
              <w:pStyle w:val="Normal"/>
              <w:spacing w:lineRule="auto" w:line="240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Приложение № 2</w:t>
            </w:r>
          </w:p>
          <w:p>
            <w:pPr>
              <w:pStyle w:val="Normal"/>
              <w:spacing w:lineRule="auto" w:line="240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 административному регламенту, утвержденному приказом Министерства труда и социальной защиты Кузбасса</w:t>
            </w:r>
          </w:p>
          <w:p>
            <w:pPr>
              <w:pStyle w:val="Normal"/>
              <w:spacing w:lineRule="auto" w:line="240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от _____________ № ____________</w:t>
            </w:r>
          </w:p>
        </w:tc>
      </w:tr>
    </w:tbl>
    <w:p>
      <w:pPr>
        <w:pStyle w:val="Normal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Рекомендуемый образец заявления об установлении ежегодной денежной выплаты приведён в </w:t>
      </w: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приложении №2 к Порядку осуществления такой выплаты лицам, награждённым нагрудным знаком «Почётный донор России»</w:t>
      </w: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, утверждённому приказом Минздрава России от 06.05.2024 №228н. </w:t>
      </w:r>
    </w:p>
    <w:p>
      <w:pPr>
        <w:pStyle w:val="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spacing w:lineRule="auto" w:line="240"/>
        <w:jc w:val="right"/>
        <w:rPr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Приложение № 3</w:t>
      </w:r>
    </w:p>
    <w:p>
      <w:pPr>
        <w:pStyle w:val="Normal"/>
        <w:spacing w:lineRule="auto" w:line="240"/>
        <w:jc w:val="right"/>
        <w:rPr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к административному регламенту, </w:t>
      </w:r>
    </w:p>
    <w:p>
      <w:pPr>
        <w:pStyle w:val="Normal"/>
        <w:spacing w:lineRule="auto" w:line="240"/>
        <w:jc w:val="right"/>
        <w:rPr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утвержденному приказом Министерства </w:t>
      </w:r>
    </w:p>
    <w:p>
      <w:pPr>
        <w:pStyle w:val="Normal"/>
        <w:spacing w:lineRule="auto" w:line="240"/>
        <w:jc w:val="right"/>
        <w:rPr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труда и социальной защиты Кузбасса</w:t>
      </w:r>
    </w:p>
    <w:p>
      <w:pPr>
        <w:pStyle w:val="Normal"/>
        <w:spacing w:lineRule="auto" w:line="240"/>
        <w:jc w:val="right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_________ № _________</w:t>
      </w: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 xml:space="preserve"> 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 xml:space="preserve">  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PT Astra Serif" w:hAnsi="PT Astra Serif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bookmarkStart w:id="0" w:name="p42"/>
      <w:bookmarkEnd w:id="0"/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 xml:space="preserve">    </w:t>
      </w: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_____________________________________________________________________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PT Astra Serif" w:hAnsi="PT Astra Serif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bookmarkStart w:id="1" w:name="p43"/>
      <w:bookmarkEnd w:id="1"/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 xml:space="preserve">    </w:t>
      </w: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(наименование уполномоченного органа)</w:t>
      </w:r>
    </w:p>
    <w:p>
      <w:pPr>
        <w:pStyle w:val="BodyText"/>
        <w:bidi w:val="0"/>
        <w:spacing w:before="0" w:after="0"/>
        <w:jc w:val="center"/>
        <w:rPr>
          <w:rFonts w:ascii="PT Astra Serif" w:hAnsi="PT Astra Serif"/>
          <w:sz w:val="24"/>
          <w:szCs w:val="24"/>
          <w:lang w:val="ru-RU" w:eastAsia="ru-RU" w:bidi="ar-SA"/>
        </w:rPr>
      </w:pPr>
      <w:r>
        <w:rPr>
          <w:rFonts w:ascii="PT Astra Serif" w:hAnsi="PT Astra Serif"/>
          <w:sz w:val="24"/>
          <w:szCs w:val="24"/>
          <w:lang w:val="ru-RU" w:eastAsia="ru-RU" w:bidi="ar-SA"/>
        </w:rPr>
      </w:r>
    </w:p>
    <w:p>
      <w:pPr>
        <w:pStyle w:val="BodyText"/>
        <w:bidi w:val="0"/>
        <w:spacing w:before="0" w:after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val="ru-RU" w:eastAsia="ru-RU" w:bidi="ar-SA"/>
        </w:rPr>
        <w:t>Решение</w:t>
      </w:r>
    </w:p>
    <w:p>
      <w:pPr>
        <w:pStyle w:val="BodyText"/>
        <w:bidi w:val="0"/>
        <w:spacing w:before="0" w:after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val="ru-RU" w:eastAsia="ru-RU" w:bidi="ar-SA"/>
        </w:rPr>
        <w:t>о назначении ежегодной денежной выплаты</w:t>
      </w:r>
    </w:p>
    <w:p>
      <w:pPr>
        <w:pStyle w:val="BodyText"/>
        <w:bidi w:val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val="ru-RU" w:eastAsia="ru-RU" w:bidi="ar-SA"/>
        </w:rPr>
        <w:t>от _________________ № _____</w:t>
      </w:r>
    </w:p>
    <w:p>
      <w:pPr>
        <w:pStyle w:val="BodyText"/>
        <w:bidi w:val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val="ru-RU" w:eastAsia="ru-RU" w:bidi="ar-SA"/>
        </w:rPr>
        <w:tab/>
        <w:t>В соответствии с Федеральным</w:t>
      </w: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 xml:space="preserve"> законом от 20.07.2012 № 125-ФЗ «О</w:t>
      </w:r>
      <w:bookmarkStart w:id="2" w:name="p50"/>
      <w:bookmarkEnd w:id="2"/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 xml:space="preserve"> донорстве крови и ее компонентов»</w:t>
      </w:r>
      <w:bookmarkStart w:id="3" w:name="p51"/>
      <w:bookmarkEnd w:id="3"/>
      <w:r>
        <w:rPr>
          <w:rFonts w:ascii="PT Astra Serif" w:hAnsi="PT Astra Serif"/>
          <w:sz w:val="24"/>
          <w:szCs w:val="24"/>
          <w:lang w:val="ru-RU" w:eastAsia="ru-RU" w:bidi="ar-SA"/>
        </w:rPr>
        <w:t>_______________________________________________________,</w:t>
      </w:r>
    </w:p>
    <w:p>
      <w:pPr>
        <w:pStyle w:val="BodyText"/>
        <w:bidi w:val="0"/>
        <w:spacing w:before="0" w:after="0"/>
        <w:jc w:val="center"/>
        <w:rPr>
          <w:rFonts w:ascii="PT Astra Serif" w:hAnsi="PT Astra Serif"/>
          <w:sz w:val="24"/>
          <w:szCs w:val="24"/>
        </w:rPr>
      </w:pPr>
      <w:bookmarkStart w:id="4" w:name="p52"/>
      <w:bookmarkEnd w:id="4"/>
      <w:r>
        <w:rPr>
          <w:rFonts w:ascii="PT Astra Serif" w:hAnsi="PT Astra Serif"/>
          <w:sz w:val="24"/>
          <w:szCs w:val="24"/>
          <w:lang w:val="ru-RU" w:eastAsia="ru-RU" w:bidi="ar-SA"/>
        </w:rPr>
        <w:t>(Ф.И.О. заявителя)</w:t>
      </w:r>
    </w:p>
    <w:p>
      <w:pPr>
        <w:pStyle w:val="BodyText"/>
        <w:bidi w:val="0"/>
        <w:spacing w:before="0" w:after="0"/>
        <w:jc w:val="center"/>
        <w:rPr>
          <w:rFonts w:ascii="PT Astra Serif" w:hAnsi="PT Astra Serif"/>
          <w:sz w:val="24"/>
          <w:szCs w:val="24"/>
          <w:lang w:val="ru-RU" w:eastAsia="ru-RU" w:bidi="ar-SA"/>
        </w:rPr>
      </w:pPr>
      <w:r>
        <w:rPr>
          <w:rFonts w:ascii="PT Astra Serif" w:hAnsi="PT Astra Serif"/>
          <w:sz w:val="24"/>
          <w:szCs w:val="24"/>
          <w:lang w:val="ru-RU" w:eastAsia="ru-RU" w:bidi="ar-SA"/>
        </w:rPr>
      </w:r>
    </w:p>
    <w:p>
      <w:pPr>
        <w:pStyle w:val="BodyText"/>
        <w:bidi w:val="0"/>
        <w:spacing w:before="0" w:after="0"/>
        <w:rPr>
          <w:rFonts w:ascii="PT Astra Serif" w:hAnsi="PT Astra Serif"/>
          <w:sz w:val="24"/>
          <w:szCs w:val="24"/>
        </w:rPr>
      </w:pPr>
      <w:bookmarkStart w:id="5" w:name="p53"/>
      <w:bookmarkEnd w:id="5"/>
      <w:r>
        <w:rPr>
          <w:rFonts w:ascii="PT Astra Serif" w:hAnsi="PT Astra Serif"/>
          <w:sz w:val="24"/>
          <w:szCs w:val="24"/>
          <w:lang w:val="ru-RU" w:eastAsia="ru-RU" w:bidi="ar-SA"/>
        </w:rPr>
        <w:t>проживающему(ей) по адресу: __________________________________________________,</w:t>
      </w:r>
    </w:p>
    <w:p>
      <w:pPr>
        <w:pStyle w:val="BodyText"/>
        <w:bidi w:val="0"/>
        <w:spacing w:before="0" w:after="0"/>
        <w:rPr>
          <w:rFonts w:ascii="PT Astra Serif" w:hAnsi="PT Astra Serif"/>
          <w:sz w:val="24"/>
          <w:szCs w:val="24"/>
        </w:rPr>
      </w:pPr>
      <w:bookmarkStart w:id="6" w:name="p54"/>
      <w:bookmarkEnd w:id="6"/>
      <w:r>
        <w:rPr>
          <w:rFonts w:ascii="PT Astra Serif" w:hAnsi="PT Astra Serif"/>
          <w:sz w:val="24"/>
          <w:szCs w:val="24"/>
          <w:lang w:val="ru-RU" w:eastAsia="ru-RU" w:bidi="ar-SA"/>
        </w:rPr>
        <w:t xml:space="preserve">                    </w:t>
      </w:r>
      <w:r>
        <w:rPr>
          <w:rFonts w:ascii="PT Astra Serif" w:hAnsi="PT Astra Serif"/>
          <w:sz w:val="24"/>
          <w:szCs w:val="24"/>
          <w:lang w:val="ru-RU" w:eastAsia="ru-RU" w:bidi="ar-SA"/>
        </w:rPr>
        <w:tab/>
        <w:tab/>
        <w:tab/>
        <w:t>(место жительства, пребывания, фактического проживания)</w:t>
      </w:r>
    </w:p>
    <w:p>
      <w:pPr>
        <w:pStyle w:val="BodyText"/>
        <w:bidi w:val="0"/>
        <w:spacing w:before="114" w:after="254"/>
        <w:rPr>
          <w:rFonts w:ascii="PT Astra Serif" w:hAnsi="PT Astra Serif"/>
          <w:sz w:val="24"/>
          <w:szCs w:val="24"/>
        </w:rPr>
      </w:pPr>
      <w:bookmarkStart w:id="7" w:name="p55"/>
      <w:bookmarkEnd w:id="7"/>
      <w:r>
        <w:rPr>
          <w:rFonts w:ascii="PT Astra Serif" w:hAnsi="PT Astra Serif"/>
          <w:sz w:val="24"/>
          <w:szCs w:val="24"/>
          <w:lang w:val="ru-RU" w:eastAsia="ru-RU" w:bidi="ar-SA"/>
        </w:rPr>
        <w:t>назначить ежегодную денежную выплату</w:t>
      </w:r>
      <w:bookmarkStart w:id="8" w:name="p56"/>
      <w:bookmarkEnd w:id="8"/>
      <w:r>
        <w:rPr>
          <w:rFonts w:ascii="PT Astra Serif" w:hAnsi="PT Astra Serif"/>
          <w:sz w:val="24"/>
          <w:szCs w:val="24"/>
          <w:lang w:val="ru-RU" w:eastAsia="ru-RU" w:bidi="ar-SA"/>
        </w:rPr>
        <w:t xml:space="preserve"> в размере __________ руб. ___ коп. </w:t>
      </w:r>
    </w:p>
    <w:p>
      <w:pPr>
        <w:pStyle w:val="BodyText"/>
        <w:bidi w:val="0"/>
        <w:spacing w:before="114" w:after="25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val="ru-RU" w:eastAsia="ru-RU" w:bidi="ar-SA"/>
        </w:rPr>
        <w:t>с "___"_______________ 20__ г.</w:t>
      </w:r>
    </w:p>
    <w:p>
      <w:pPr>
        <w:pStyle w:val="BodyText"/>
        <w:bidi w:val="0"/>
        <w:rPr>
          <w:rFonts w:ascii="PT Astra Serif" w:hAnsi="PT Astra Serif"/>
          <w:sz w:val="24"/>
          <w:szCs w:val="24"/>
          <w:lang w:val="ru-RU" w:eastAsia="ru-RU" w:bidi="ar-SA"/>
        </w:rPr>
      </w:pPr>
      <w:r>
        <w:rPr>
          <w:rFonts w:ascii="PT Astra Serif" w:hAnsi="PT Astra Serif"/>
          <w:sz w:val="24"/>
          <w:szCs w:val="24"/>
          <w:lang w:val="ru-RU" w:eastAsia="ru-RU" w:bidi="ar-SA"/>
        </w:rPr>
      </w:r>
    </w:p>
    <w:p>
      <w:pPr>
        <w:pStyle w:val="BodyText"/>
        <w:bidi w:val="0"/>
        <w:rPr>
          <w:rFonts w:ascii="PT Astra Serif" w:hAnsi="PT Astra Serif"/>
          <w:sz w:val="24"/>
          <w:szCs w:val="24"/>
        </w:rPr>
      </w:pPr>
      <w:bookmarkStart w:id="9" w:name="p58"/>
      <w:bookmarkStart w:id="10" w:name="p57"/>
      <w:bookmarkEnd w:id="9"/>
      <w:bookmarkEnd w:id="10"/>
      <w:r>
        <w:rPr>
          <w:rFonts w:ascii="PT Astra Serif" w:hAnsi="PT Astra Serif"/>
          <w:sz w:val="24"/>
          <w:szCs w:val="24"/>
          <w:lang w:val="ru-RU" w:eastAsia="ru-RU" w:bidi="ar-SA"/>
        </w:rPr>
        <w:t>Способ выплаты: _____________________________________________________________</w:t>
      </w:r>
    </w:p>
    <w:p>
      <w:pPr>
        <w:pStyle w:val="BodyText"/>
        <w:bidi w:val="0"/>
        <w:rPr>
          <w:rFonts w:ascii="PT Astra Serif" w:hAnsi="PT Astra Serif"/>
          <w:sz w:val="24"/>
          <w:szCs w:val="24"/>
          <w:lang w:val="ru-RU" w:eastAsia="ru-RU" w:bidi="ar-SA"/>
        </w:rPr>
      </w:pPr>
      <w:r>
        <w:rPr>
          <w:rFonts w:ascii="PT Astra Serif" w:hAnsi="PT Astra Serif"/>
          <w:sz w:val="24"/>
          <w:szCs w:val="24"/>
          <w:lang w:val="ru-RU" w:eastAsia="ru-RU" w:bidi="ar-SA"/>
        </w:rPr>
      </w:r>
    </w:p>
    <w:p>
      <w:pPr>
        <w:pStyle w:val="BodyText"/>
        <w:bidi w:val="0"/>
        <w:spacing w:before="0" w:after="0"/>
        <w:rPr>
          <w:rFonts w:ascii="PT Astra Serif" w:hAnsi="PT Astra Serif"/>
          <w:sz w:val="24"/>
          <w:szCs w:val="24"/>
        </w:rPr>
      </w:pPr>
      <w:bookmarkStart w:id="11" w:name="p60"/>
      <w:bookmarkStart w:id="12" w:name="p61"/>
      <w:bookmarkStart w:id="13" w:name="p59"/>
      <w:bookmarkEnd w:id="11"/>
      <w:bookmarkEnd w:id="12"/>
      <w:bookmarkEnd w:id="13"/>
      <w:r>
        <w:rPr>
          <w:rFonts w:ascii="PT Astra Serif" w:hAnsi="PT Astra Serif"/>
          <w:sz w:val="24"/>
          <w:szCs w:val="24"/>
          <w:lang w:val="ru-RU" w:eastAsia="ru-RU" w:bidi="ar-SA"/>
        </w:rPr>
        <w:t>Руководитель</w:t>
      </w:r>
    </w:p>
    <w:p>
      <w:pPr>
        <w:pStyle w:val="BodyText"/>
        <w:bidi w:val="0"/>
        <w:spacing w:before="0" w:after="0"/>
        <w:rPr>
          <w:rFonts w:ascii="PT Astra Serif" w:hAnsi="PT Astra Serif"/>
          <w:sz w:val="24"/>
          <w:szCs w:val="24"/>
        </w:rPr>
      </w:pPr>
      <w:bookmarkStart w:id="14" w:name="p62"/>
      <w:bookmarkEnd w:id="14"/>
      <w:r>
        <w:rPr>
          <w:rFonts w:ascii="PT Astra Serif" w:hAnsi="PT Astra Serif"/>
          <w:sz w:val="24"/>
          <w:szCs w:val="24"/>
          <w:lang w:val="ru-RU" w:eastAsia="ru-RU" w:bidi="ar-SA"/>
        </w:rPr>
        <w:t>уполномоченного органа _____________      _________________________________</w:t>
      </w:r>
    </w:p>
    <w:p>
      <w:pPr>
        <w:pStyle w:val="BodyText"/>
        <w:bidi w:val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val="ru-RU" w:eastAsia="ru-RU" w:bidi="ar-SA"/>
        </w:rPr>
        <w:tab/>
        <w:tab/>
        <w:tab/>
        <w:tab/>
        <w:t xml:space="preserve">(подпись)        </w:t>
        <w:tab/>
        <w:t xml:space="preserve">     (расшифровка подписи)</w:t>
      </w:r>
    </w:p>
    <w:p>
      <w:pPr>
        <w:pStyle w:val="BodyText"/>
        <w:bidi w:val="0"/>
        <w:rPr>
          <w:rFonts w:ascii="PT Astra Serif" w:hAnsi="PT Astra Serif"/>
          <w:sz w:val="24"/>
          <w:szCs w:val="24"/>
        </w:rPr>
      </w:pPr>
      <w:bookmarkStart w:id="15" w:name="p64"/>
      <w:bookmarkStart w:id="16" w:name="p65"/>
      <w:bookmarkEnd w:id="15"/>
      <w:bookmarkEnd w:id="16"/>
      <w:r>
        <w:rPr>
          <w:rFonts w:ascii="PT Astra Serif" w:hAnsi="PT Astra Serif"/>
          <w:sz w:val="24"/>
          <w:szCs w:val="24"/>
          <w:lang w:val="ru-RU" w:eastAsia="ru-RU" w:bidi="ar-SA"/>
        </w:rPr>
        <w:t>М.П.</w:t>
      </w:r>
    </w:p>
    <w:p>
      <w:pPr>
        <w:pStyle w:val="BodyText"/>
        <w:bidi w:val="0"/>
        <w:spacing w:before="0" w:after="0"/>
        <w:rPr>
          <w:rFonts w:ascii="PT Astra Serif" w:hAnsi="PT Astra Serif"/>
          <w:sz w:val="24"/>
          <w:szCs w:val="24"/>
        </w:rPr>
      </w:pPr>
      <w:bookmarkStart w:id="17" w:name="p67"/>
      <w:bookmarkStart w:id="18" w:name="p66"/>
      <w:bookmarkStart w:id="19" w:name="p68"/>
      <w:bookmarkEnd w:id="17"/>
      <w:bookmarkEnd w:id="18"/>
      <w:bookmarkEnd w:id="19"/>
      <w:r>
        <w:rPr>
          <w:rFonts w:ascii="PT Astra Serif" w:hAnsi="PT Astra Serif"/>
          <w:sz w:val="24"/>
          <w:szCs w:val="24"/>
          <w:lang w:val="ru-RU" w:eastAsia="ru-RU" w:bidi="ar-SA"/>
        </w:rPr>
        <w:t>Специалист</w:t>
      </w:r>
    </w:p>
    <w:p>
      <w:pPr>
        <w:pStyle w:val="BodyText"/>
        <w:bidi w:val="0"/>
        <w:spacing w:before="0" w:after="0"/>
        <w:rPr>
          <w:rFonts w:ascii="PT Astra Serif" w:hAnsi="PT Astra Serif"/>
          <w:sz w:val="24"/>
          <w:szCs w:val="24"/>
        </w:rPr>
      </w:pPr>
      <w:bookmarkStart w:id="20" w:name="p69"/>
      <w:bookmarkEnd w:id="20"/>
      <w:r>
        <w:rPr>
          <w:rFonts w:ascii="PT Astra Serif" w:hAnsi="PT Astra Serif"/>
          <w:sz w:val="24"/>
          <w:szCs w:val="24"/>
          <w:lang w:val="ru-RU" w:eastAsia="ru-RU" w:bidi="ar-SA"/>
        </w:rPr>
        <w:t>уполномоченного органа _____________      _________________________________</w:t>
      </w:r>
    </w:p>
    <w:p>
      <w:pPr>
        <w:pStyle w:val="BodyText"/>
        <w:bidi w:val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val="ru-RU" w:eastAsia="ru-RU" w:bidi="ar-SA"/>
        </w:rPr>
        <w:tab/>
        <w:tab/>
        <w:tab/>
        <w:tab/>
        <w:t>(подпись)                           (расшифровка подписи)</w:t>
      </w:r>
    </w:p>
    <w:p>
      <w:pPr>
        <w:pStyle w:val="BodyText"/>
        <w:bidi w:val="0"/>
        <w:rPr>
          <w:rFonts w:ascii="PT Astra Serif" w:hAnsi="PT Astra Serif"/>
          <w:sz w:val="24"/>
          <w:szCs w:val="24"/>
          <w:lang w:val="ru-RU" w:eastAsia="ru-RU" w:bidi="ar-SA"/>
        </w:rPr>
      </w:pPr>
      <w:r>
        <w:rPr>
          <w:rFonts w:ascii="PT Astra Serif" w:hAnsi="PT Astra Serif"/>
          <w:sz w:val="24"/>
          <w:szCs w:val="24"/>
          <w:lang w:val="ru-RU" w:eastAsia="ru-RU" w:bidi="ar-SA"/>
        </w:rPr>
      </w:r>
    </w:p>
    <w:p>
      <w:pPr>
        <w:pStyle w:val="BodyText"/>
        <w:bidi w:val="0"/>
        <w:rPr>
          <w:rFonts w:ascii="PT Astra Serif" w:hAnsi="PT Astra Serif"/>
          <w:sz w:val="24"/>
          <w:szCs w:val="24"/>
          <w:lang w:val="ru-RU" w:eastAsia="ru-RU" w:bidi="ar-SA"/>
        </w:rPr>
      </w:pPr>
      <w:r>
        <w:rPr>
          <w:rFonts w:ascii="PT Astra Serif" w:hAnsi="PT Astra Serif"/>
          <w:sz w:val="24"/>
          <w:szCs w:val="24"/>
          <w:lang w:val="ru-RU" w:eastAsia="ru-RU" w:bidi="ar-SA"/>
        </w:rPr>
      </w:r>
    </w:p>
    <w:p>
      <w:pPr>
        <w:pStyle w:val="BodyText"/>
        <w:bidi w:val="0"/>
        <w:rPr>
          <w:lang w:val="ru-RU" w:eastAsia="ru-RU" w:bidi="ar-SA"/>
        </w:rPr>
      </w:pPr>
      <w:r>
        <w:rPr>
          <w:lang w:val="ru-RU" w:eastAsia="ru-RU" w:bidi="ar-SA"/>
        </w:rPr>
      </w:r>
    </w:p>
    <w:p>
      <w:pPr>
        <w:pStyle w:val="BodyText"/>
        <w:bidi w:val="0"/>
        <w:rPr>
          <w:lang w:val="ru-RU" w:eastAsia="ru-RU" w:bidi="ar-SA"/>
        </w:rPr>
      </w:pPr>
      <w:r>
        <w:rPr>
          <w:lang w:val="ru-RU" w:eastAsia="ru-RU" w:bidi="ar-SA"/>
        </w:rPr>
      </w:r>
    </w:p>
    <w:p>
      <w:pPr>
        <w:pStyle w:val="BodyText"/>
        <w:bidi w:val="0"/>
        <w:rPr>
          <w:lang w:val="ru-RU" w:eastAsia="ru-RU" w:bidi="ar-SA"/>
        </w:rPr>
      </w:pPr>
      <w:r>
        <w:rPr>
          <w:lang w:val="ru-RU" w:eastAsia="ru-RU" w:bidi="ar-SA"/>
        </w:rPr>
      </w:r>
    </w:p>
    <w:p>
      <w:pPr>
        <w:pStyle w:val="BodyText"/>
        <w:bidi w:val="0"/>
        <w:rPr>
          <w:lang w:val="ru-RU" w:eastAsia="ru-RU" w:bidi="ar-SA"/>
        </w:rPr>
      </w:pPr>
      <w:r>
        <w:rPr>
          <w:lang w:val="ru-RU" w:eastAsia="ru-RU" w:bidi="ar-SA"/>
        </w:rPr>
      </w:r>
    </w:p>
    <w:p>
      <w:pPr>
        <w:pStyle w:val="BodyText"/>
        <w:bidi w:val="0"/>
        <w:rPr>
          <w:lang w:val="ru-RU" w:eastAsia="ru-RU" w:bidi="ar-SA"/>
        </w:rPr>
      </w:pPr>
      <w:r>
        <w:rPr>
          <w:lang w:val="ru-RU" w:eastAsia="ru-RU" w:bidi="ar-SA"/>
        </w:rPr>
      </w:r>
    </w:p>
    <w:p>
      <w:pPr>
        <w:pStyle w:val="Normal"/>
        <w:spacing w:lineRule="auto" w:line="240"/>
        <w:jc w:val="right"/>
        <w:rPr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Приложение № 4</w:t>
      </w:r>
    </w:p>
    <w:p>
      <w:pPr>
        <w:pStyle w:val="Normal"/>
        <w:spacing w:lineRule="auto" w:line="240"/>
        <w:jc w:val="right"/>
        <w:rPr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к административному регламенту, </w:t>
      </w:r>
    </w:p>
    <w:p>
      <w:pPr>
        <w:pStyle w:val="Normal"/>
        <w:spacing w:lineRule="auto" w:line="240"/>
        <w:jc w:val="right"/>
        <w:rPr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утвержденному приказом Министерства </w:t>
      </w:r>
    </w:p>
    <w:p>
      <w:pPr>
        <w:pStyle w:val="Normal"/>
        <w:spacing w:lineRule="auto" w:line="240"/>
        <w:jc w:val="right"/>
        <w:rPr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труда и социальной защиты Кузбасса</w:t>
      </w:r>
    </w:p>
    <w:p>
      <w:pPr>
        <w:pStyle w:val="Normal"/>
        <w:spacing w:lineRule="auto" w:line="240"/>
        <w:jc w:val="right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_________ № _________</w:t>
      </w: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 xml:space="preserve"> </w:t>
      </w:r>
    </w:p>
    <w:p>
      <w:pPr>
        <w:pStyle w:val="BodyText"/>
        <w:widowControl/>
        <w:suppressAutoHyphens w:val="true"/>
        <w:bidi w:val="0"/>
        <w:jc w:val="left"/>
        <w:rPr>
          <w:rFonts w:ascii="PT Astra Serif" w:hAnsi="PT Astra Serif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 xml:space="preserve">  </w:t>
      </w:r>
    </w:p>
    <w:p>
      <w:pPr>
        <w:pStyle w:val="BodyText"/>
        <w:widowControl/>
        <w:suppressAutoHyphens w:val="true"/>
        <w:bidi w:val="0"/>
        <w:spacing w:before="0" w:after="0"/>
        <w:jc w:val="center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_________________________________________________________________</w:t>
      </w:r>
    </w:p>
    <w:p>
      <w:pPr>
        <w:pStyle w:val="BodyText"/>
        <w:widowControl/>
        <w:suppressAutoHyphens w:val="true"/>
        <w:bidi w:val="0"/>
        <w:spacing w:before="0" w:after="26"/>
        <w:jc w:val="center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(наименование уполномоченного органа)</w:t>
      </w:r>
    </w:p>
    <w:p>
      <w:pPr>
        <w:pStyle w:val="BodyText"/>
        <w:widowControl/>
        <w:suppressAutoHyphens w:val="true"/>
        <w:bidi w:val="0"/>
        <w:spacing w:before="0" w:after="0"/>
        <w:jc w:val="center"/>
        <w:rPr>
          <w:rFonts w:ascii="PT Astra Serif" w:hAnsi="PT Astra Serif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</w:r>
    </w:p>
    <w:p>
      <w:pPr>
        <w:pStyle w:val="BodyText"/>
        <w:widowControl/>
        <w:suppressAutoHyphens w:val="true"/>
        <w:bidi w:val="0"/>
        <w:spacing w:lineRule="auto" w:line="240" w:before="0" w:after="0"/>
        <w:jc w:val="center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Решение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jc w:val="center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об отказе в назначении ежегодной денежной выплаты</w:t>
      </w:r>
    </w:p>
    <w:p>
      <w:pPr>
        <w:pStyle w:val="BodyText"/>
        <w:widowControl/>
        <w:suppressAutoHyphens w:val="true"/>
        <w:bidi w:val="0"/>
        <w:spacing w:lineRule="auto" w:line="240" w:before="0" w:after="26"/>
        <w:jc w:val="center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от ________________ № _____</w:t>
      </w:r>
    </w:p>
    <w:p>
      <w:pPr>
        <w:pStyle w:val="BodyText"/>
        <w:widowControl/>
        <w:suppressAutoHyphens w:val="true"/>
        <w:bidi w:val="0"/>
        <w:spacing w:lineRule="auto" w:line="240" w:before="0" w:after="26"/>
        <w:jc w:val="center"/>
        <w:rPr>
          <w:rFonts w:ascii="PT Astra Serif" w:hAnsi="PT Astra Serif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</w:r>
    </w:p>
    <w:p>
      <w:pPr>
        <w:pStyle w:val="BodyText"/>
        <w:bidi w:val="0"/>
        <w:rPr/>
      </w:pPr>
      <w:r>
        <w:rPr>
          <w:rFonts w:ascii="PT Astra Serif" w:hAnsi="PT Astra Serif"/>
          <w:sz w:val="24"/>
          <w:szCs w:val="24"/>
        </w:rPr>
        <w:tab/>
        <w:t>В соответствии с Федеральным законом от 20.07.2012 № 125-ФЗ «О</w:t>
      </w:r>
      <w:bookmarkStart w:id="21" w:name="p50_Копия_1"/>
      <w:bookmarkEnd w:id="21"/>
      <w:r>
        <w:rPr>
          <w:rFonts w:ascii="PT Astra Serif" w:hAnsi="PT Astra Serif"/>
          <w:sz w:val="24"/>
          <w:szCs w:val="24"/>
        </w:rPr>
        <w:t xml:space="preserve"> донорстве крови и ее компонентов» </w:t>
      </w: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_</w:t>
      </w:r>
      <w:r>
        <w:rPr>
          <w:rFonts w:ascii="PT Astra Serif" w:hAnsi="PT Astra Serif"/>
          <w:lang w:val="ru-RU" w:eastAsia="ru-RU" w:bidi="ar-SA"/>
        </w:rPr>
        <w:t>______________________________________________________,</w:t>
      </w:r>
    </w:p>
    <w:p>
      <w:pPr>
        <w:pStyle w:val="BodyText"/>
        <w:bidi w:val="0"/>
        <w:rPr/>
      </w:pPr>
      <w:r>
        <w:rPr/>
        <w:tab/>
        <w:tab/>
        <w:tab/>
        <w:tab/>
        <w:tab/>
        <w:tab/>
      </w:r>
      <w:r>
        <w:rPr>
          <w:rFonts w:ascii="PT Astra Serif" w:hAnsi="PT Astra Serif"/>
        </w:rPr>
        <w:t>(Ф.И.О. заявителя)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jc w:val="left"/>
        <w:rPr>
          <w:rFonts w:eastAsia="Times New Roman" w:cs="Times New Roman"/>
          <w:color w:val="000000"/>
          <w:kern w:val="0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lang w:val="ru-RU" w:eastAsia="ru-RU" w:bidi="ar-SA"/>
        </w:rPr>
      </w:r>
    </w:p>
    <w:p>
      <w:pPr>
        <w:pStyle w:val="BodyText"/>
        <w:widowControl/>
        <w:suppressAutoHyphens w:val="true"/>
        <w:bidi w:val="0"/>
        <w:spacing w:before="0" w:after="0"/>
        <w:jc w:val="left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проживающему(ей) по адресу: __________________________________________________,</w:t>
      </w:r>
    </w:p>
    <w:p>
      <w:pPr>
        <w:pStyle w:val="BodyText"/>
        <w:widowControl/>
        <w:suppressAutoHyphens w:val="true"/>
        <w:bidi w:val="0"/>
        <w:spacing w:lineRule="auto" w:line="240" w:before="57" w:after="140"/>
        <w:jc w:val="center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ab/>
        <w:tab/>
        <w:tab/>
        <w:tab/>
        <w:t xml:space="preserve">     (место жительства, пребывания, фактического проживания)</w:t>
      </w:r>
    </w:p>
    <w:p>
      <w:pPr>
        <w:pStyle w:val="BodyText"/>
        <w:widowControl/>
        <w:suppressAutoHyphens w:val="true"/>
        <w:bidi w:val="0"/>
        <w:spacing w:before="0" w:after="83"/>
        <w:jc w:val="left"/>
        <w:rPr>
          <w:rFonts w:ascii="PT Astra Serif" w:hAnsi="PT Astra Serif"/>
          <w:sz w:val="24"/>
          <w:szCs w:val="24"/>
        </w:rPr>
      </w:pPr>
      <w:bookmarkStart w:id="22" w:name="p97"/>
      <w:bookmarkEnd w:id="22"/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отказать в назначении ежегодной денежной выплаты</w:t>
      </w:r>
    </w:p>
    <w:p>
      <w:pPr>
        <w:pStyle w:val="BodyText"/>
        <w:widowControl/>
        <w:suppressAutoHyphens w:val="true"/>
        <w:bidi w:val="0"/>
        <w:jc w:val="left"/>
        <w:rPr>
          <w:rFonts w:ascii="PT Astra Serif" w:hAnsi="PT Astra Serif"/>
          <w:sz w:val="24"/>
          <w:szCs w:val="24"/>
        </w:rPr>
      </w:pPr>
      <w:bookmarkStart w:id="23" w:name="p98"/>
      <w:bookmarkEnd w:id="23"/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_____________________________________________________________________________</w:t>
      </w:r>
    </w:p>
    <w:p>
      <w:pPr>
        <w:pStyle w:val="BodyText"/>
        <w:widowControl/>
        <w:suppressAutoHyphens w:val="true"/>
        <w:bidi w:val="0"/>
        <w:spacing w:before="0" w:after="0"/>
        <w:jc w:val="left"/>
        <w:rPr>
          <w:rFonts w:ascii="PT Astra Serif" w:hAnsi="PT Astra Serif"/>
          <w:sz w:val="24"/>
          <w:szCs w:val="24"/>
        </w:rPr>
      </w:pPr>
      <w:bookmarkStart w:id="24" w:name="p99"/>
      <w:bookmarkEnd w:id="24"/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_____________________________________________________________________________</w:t>
      </w:r>
    </w:p>
    <w:p>
      <w:pPr>
        <w:pStyle w:val="BodyText"/>
        <w:widowControl/>
        <w:suppressAutoHyphens w:val="true"/>
        <w:bidi w:val="0"/>
        <w:spacing w:before="0" w:after="0"/>
        <w:jc w:val="center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(основание(я) для вынесения настоящего решения)</w:t>
      </w:r>
    </w:p>
    <w:p>
      <w:pPr>
        <w:pStyle w:val="BodyText"/>
        <w:widowControl/>
        <w:suppressAutoHyphens w:val="true"/>
        <w:bidi w:val="0"/>
        <w:spacing w:before="0" w:after="0"/>
        <w:jc w:val="center"/>
        <w:rPr>
          <w:rFonts w:ascii="PT Astra Serif" w:hAnsi="PT Astra Serif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</w:r>
    </w:p>
    <w:p>
      <w:pPr>
        <w:pStyle w:val="BodyText"/>
        <w:widowControl/>
        <w:suppressAutoHyphens w:val="true"/>
        <w:bidi w:val="0"/>
        <w:jc w:val="left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ab/>
        <w:t>Настоящее решение может быть обжаловано в Министерство труда и социальной</w:t>
      </w:r>
      <w:bookmarkStart w:id="25" w:name="p102"/>
      <w:bookmarkEnd w:id="25"/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 xml:space="preserve"> защиты Кузбасса и (или) в судебном порядке.</w:t>
      </w:r>
    </w:p>
    <w:p>
      <w:pPr>
        <w:pStyle w:val="BodyText"/>
        <w:widowControl/>
        <w:suppressAutoHyphens w:val="true"/>
        <w:bidi w:val="0"/>
        <w:spacing w:before="0" w:after="0"/>
        <w:jc w:val="left"/>
        <w:rPr>
          <w:rFonts w:ascii="PT Astra Serif" w:hAnsi="PT Astra Serif"/>
          <w:sz w:val="24"/>
          <w:szCs w:val="24"/>
        </w:rPr>
      </w:pPr>
      <w:bookmarkStart w:id="26" w:name="p104"/>
      <w:bookmarkStart w:id="27" w:name="p105"/>
      <w:bookmarkStart w:id="28" w:name="p103"/>
      <w:bookmarkEnd w:id="26"/>
      <w:bookmarkEnd w:id="27"/>
      <w:bookmarkEnd w:id="28"/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Руководитель</w:t>
      </w:r>
    </w:p>
    <w:p>
      <w:pPr>
        <w:pStyle w:val="BodyText"/>
        <w:widowControl/>
        <w:suppressAutoHyphens w:val="true"/>
        <w:bidi w:val="0"/>
        <w:spacing w:before="0" w:after="0"/>
        <w:jc w:val="left"/>
        <w:rPr>
          <w:rFonts w:ascii="PT Astra Serif" w:hAnsi="PT Astra Serif"/>
          <w:sz w:val="24"/>
          <w:szCs w:val="24"/>
        </w:rPr>
      </w:pPr>
      <w:bookmarkStart w:id="29" w:name="p106"/>
      <w:bookmarkEnd w:id="29"/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уполномоченного органа   ________________/________________________________/</w:t>
      </w:r>
    </w:p>
    <w:p>
      <w:pPr>
        <w:pStyle w:val="BodyText"/>
        <w:widowControl/>
        <w:suppressAutoHyphens w:val="true"/>
        <w:bidi w:val="0"/>
        <w:jc w:val="left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ab/>
        <w:tab/>
        <w:tab/>
        <w:tab/>
        <w:tab/>
        <w:t>(подпись)         (расшифровка подписи)</w:t>
      </w:r>
    </w:p>
    <w:p>
      <w:pPr>
        <w:pStyle w:val="BodyText"/>
        <w:widowControl/>
        <w:suppressAutoHyphens w:val="true"/>
        <w:bidi w:val="0"/>
        <w:jc w:val="left"/>
        <w:rPr>
          <w:rFonts w:ascii="PT Astra Serif" w:hAnsi="PT Astra Serif"/>
          <w:sz w:val="24"/>
          <w:szCs w:val="24"/>
        </w:rPr>
      </w:pPr>
      <w:bookmarkStart w:id="30" w:name="p108"/>
      <w:bookmarkStart w:id="31" w:name="p109"/>
      <w:bookmarkEnd w:id="30"/>
      <w:bookmarkEnd w:id="31"/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 xml:space="preserve">    </w:t>
      </w: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М.П.</w:t>
      </w:r>
    </w:p>
    <w:p>
      <w:pPr>
        <w:pStyle w:val="BodyText"/>
        <w:widowControl/>
        <w:suppressAutoHyphens w:val="true"/>
        <w:bidi w:val="0"/>
        <w:spacing w:before="0" w:after="0"/>
        <w:jc w:val="left"/>
        <w:rPr>
          <w:rFonts w:ascii="PT Astra Serif" w:hAnsi="PT Astra Serif"/>
          <w:sz w:val="24"/>
          <w:szCs w:val="24"/>
        </w:rPr>
      </w:pPr>
      <w:bookmarkStart w:id="32" w:name="p110"/>
      <w:bookmarkStart w:id="33" w:name="p111"/>
      <w:bookmarkEnd w:id="32"/>
      <w:bookmarkEnd w:id="33"/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 xml:space="preserve">Специалист              </w:t>
      </w:r>
    </w:p>
    <w:p>
      <w:pPr>
        <w:pStyle w:val="BodyText"/>
        <w:widowControl/>
        <w:suppressAutoHyphens w:val="true"/>
        <w:bidi w:val="0"/>
        <w:spacing w:before="0" w:after="0"/>
        <w:jc w:val="left"/>
        <w:rPr>
          <w:rFonts w:ascii="PT Astra Serif" w:hAnsi="PT Astra Serif"/>
          <w:sz w:val="24"/>
          <w:szCs w:val="24"/>
        </w:rPr>
      </w:pPr>
      <w:bookmarkStart w:id="34" w:name="p112"/>
      <w:bookmarkEnd w:id="34"/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>уполномоченного органа __________________/_________________________________/</w:t>
      </w:r>
    </w:p>
    <w:p>
      <w:pPr>
        <w:pStyle w:val="BodyText"/>
        <w:widowControl/>
        <w:suppressAutoHyphens w:val="true"/>
        <w:bidi w:val="0"/>
        <w:jc w:val="left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ab/>
        <w:tab/>
        <w:tab/>
        <w:tab/>
        <w:t xml:space="preserve">     (подпись)         (расшифровка подписи)</w:t>
      </w:r>
    </w:p>
    <w:p>
      <w:pPr>
        <w:pStyle w:val="BodyText"/>
        <w:widowControl/>
        <w:suppressAutoHyphens w:val="true"/>
        <w:bidi w:val="0"/>
        <w:jc w:val="left"/>
        <w:rPr>
          <w:rFonts w:ascii="PT Astra Serif" w:hAnsi="PT Astra Serif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</w:r>
    </w:p>
    <w:p>
      <w:pPr>
        <w:pStyle w:val="BodyText"/>
        <w:widowControl/>
        <w:suppressAutoHyphens w:val="true"/>
        <w:bidi w:val="0"/>
        <w:jc w:val="left"/>
        <w:rPr>
          <w:rFonts w:ascii="PT Astra Serif" w:hAnsi="PT Astra Serif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 xml:space="preserve"> </w:t>
      </w:r>
    </w:p>
    <w:p>
      <w:pPr>
        <w:pStyle w:val="BodyText"/>
        <w:widowControl/>
        <w:suppressAutoHyphens w:val="true"/>
        <w:bidi w:val="0"/>
        <w:jc w:val="left"/>
        <w:rPr>
          <w:rFonts w:ascii="PT Astra Serif" w:hAnsi="PT Astra Serif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  <w:t xml:space="preserve">  </w:t>
      </w:r>
    </w:p>
    <w:p>
      <w:pPr>
        <w:pStyle w:val="BodyText"/>
        <w:widowControl/>
        <w:suppressAutoHyphens w:val="true"/>
        <w:bidi w:val="0"/>
        <w:spacing w:before="0" w:after="140"/>
        <w:jc w:val="left"/>
        <w:rPr>
          <w:rFonts w:ascii="PT Astra Serif" w:hAnsi="PT Astra Serif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4"/>
          <w:szCs w:val="24"/>
          <w:lang w:val="ru-RU" w:eastAsia="ru-RU" w:bidi="ar-SA"/>
        </w:rPr>
      </w:r>
    </w:p>
    <w:sectPr>
      <w:headerReference w:type="even" r:id="rId7"/>
      <w:headerReference w:type="default" r:id="rId8"/>
      <w:headerReference w:type="first" r:id="rId9"/>
      <w:footnotePr>
        <w:numFmt w:val="decimal"/>
      </w:footnotePr>
      <w:type w:val="nextPage"/>
      <w:pgSz w:w="11906" w:h="16838"/>
      <w:pgMar w:left="1701" w:right="850" w:gutter="0" w:header="708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libri Light">
    <w:charset w:val="01"/>
    <w:family w:val="swiss"/>
    <w:pitch w:val="default"/>
  </w:font>
  <w:font w:name="Tahoma">
    <w:charset w:val="01"/>
    <w:family w:val="swiss"/>
    <w:pitch w:val="default"/>
  </w:font>
  <w:font w:name="Consolas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Liberation Mono">
    <w:altName w:val="Courier New"/>
    <w:charset w:val="01"/>
    <w:family w:val="roman"/>
    <w:pitch w:val="default"/>
  </w:font>
  <w:font w:name="Courier New">
    <w:charset w:val="01"/>
    <w:family w:val="swiss"/>
    <w:pitch w:val="default"/>
  </w:font>
  <w:font w:name="PT Astra Serif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1a7a8df9-334c-4aaf-a8a2-885d76553538"/>
        <w:spacing w:lineRule="auto" w:line="300"/>
        <w:jc w:val="both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0295" cy="173990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044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lang w:val="en-US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190.9pt;margin-top:0.05pt;width:85.8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lang w:val="en-US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right"/>
      <w:pPr>
        <w:tabs>
          <w:tab w:val="num" w:pos="0"/>
        </w:tabs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lvlText w:val="%5."/>
      <w:lvlJc w:val="right"/>
      <w:pPr>
        <w:tabs>
          <w:tab w:val="num" w:pos="0"/>
        </w:tabs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rFonts w:ascii="Times New Roman" w:hAnsi="Times New Roman" w:eastAsia="Times New Roman" w:cs="Times New Roman"/>
      </w:rPr>
    </w:lvl>
    <w:lvl w:ilvl="6">
      <w:start w:val="14"/>
      <w:numFmt w:val="decimal"/>
      <w:lvlText w:val="%7."/>
      <w:lvlJc w:val="left"/>
      <w:pPr>
        <w:tabs>
          <w:tab w:val="num" w:pos="0"/>
        </w:tabs>
        <w:ind w:left="5040" w:hanging="360"/>
      </w:pPr>
      <w:rPr>
        <w:sz w:val="28"/>
        <w:szCs w:val="28"/>
        <w:rFonts w:ascii="PT Astra Serif" w:hAnsi="PT Astra Serif" w:eastAsia="Times New Roman" w:cs="Times New Roman"/>
      </w:rPr>
    </w:lvl>
    <w:lvl w:ilvl="7">
      <w:start w:val="1"/>
      <w:numFmt w:val="lowerLetter"/>
      <w:lvlText w:val="%8."/>
      <w:lvlJc w:val="right"/>
      <w:pPr>
        <w:tabs>
          <w:tab w:val="num" w:pos="0"/>
        </w:tabs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2">
    <w:lvl w:ilvl="0">
      <w:start w:val="23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  <w:rFonts w:ascii="PT Astra Serif" w:hAnsi="PT Astra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24"/>
      <w:numFmt w:val="decimal"/>
      <w:lvlText w:val="%1."/>
      <w:lvlJc w:val="left"/>
      <w:pPr>
        <w:tabs>
          <w:tab w:val="num" w:pos="0"/>
        </w:tabs>
        <w:ind w:left="0" w:hanging="0"/>
      </w:pPr>
      <w:rPr>
        <w:sz w:val="28"/>
        <w:i w:val="false"/>
        <w:b w:val="false"/>
        <w:szCs w:val="28"/>
        <w:rFonts w:ascii="PT Astra Serif" w:hAnsi="PT Astra Serif" w:eastAsia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8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z w:val="28"/>
        <w:szCs w:val="28"/>
        <w:rFonts w:ascii="PT Astra Serif" w:hAnsi="PT Astra Serif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/>
    </w:lvl>
  </w:abstractNum>
  <w:abstractNum w:abstractNumId="5">
    <w:lvl w:ilvl="0">
      <w:start w:val="1"/>
      <w:numFmt w:val="none"/>
      <w:suff w:val="nothing"/>
      <w:lvlText w:val="%1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ru-RU" w:eastAsia="zh-CN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1"/>
    <w:qFormat/>
    <w:rsid w:val="005c413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727a4f"/>
    <w:pPr>
      <w:keepNext w:val="true"/>
      <w:keepLines/>
      <w:spacing w:before="360" w:after="80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27a4f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27a4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27a4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27a4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27a4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27a4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27a4f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27a4f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727a4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727a4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727a4f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727a4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727a4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27a4f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727a4f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727a4f"/>
    <w:rPr>
      <w:b/>
      <w:bCs/>
      <w:smallCaps/>
      <w:color w:themeColor="accent1" w:themeShade="bf" w:val="2F5496"/>
      <w:spacing w:val="5"/>
    </w:rPr>
  </w:style>
  <w:style w:type="character" w:styleId="11" w:customStyle="1">
    <w:name w:val="Обычный1"/>
    <w:qFormat/>
    <w:rsid w:val="00727a4f"/>
    <w:rPr>
      <w:rFonts w:ascii="Times New Roman" w:hAnsi="Times New Roman"/>
      <w:color w:val="000000"/>
      <w:sz w:val="24"/>
    </w:rPr>
  </w:style>
  <w:style w:type="character" w:styleId="Style8" w:customStyle="1">
    <w:name w:val="Абзац списка Знак"/>
    <w:basedOn w:val="11"/>
    <w:link w:val="ListParagraph"/>
    <w:uiPriority w:val="34"/>
    <w:qFormat/>
    <w:rsid w:val="00727a4f"/>
    <w:rPr>
      <w:rFonts w:ascii="Times New Roman" w:hAnsi="Times New Roman"/>
      <w:color w:val="000000"/>
      <w:sz w:val="24"/>
    </w:rPr>
  </w:style>
  <w:style w:type="character" w:styleId="Style9" w:customStyle="1">
    <w:name w:val="Верхний колонтитул Знак"/>
    <w:basedOn w:val="DefaultParagraphFont"/>
    <w:qFormat/>
    <w:rsid w:val="00727a4f"/>
    <w:rPr>
      <w:rFonts w:ascii="Times New Roman" w:hAnsi="Times New Roman" w:eastAsia="Times New Roman" w:cs="Times New Roman"/>
      <w:color w:val="000000"/>
      <w:kern w:val="0"/>
      <w:sz w:val="20"/>
      <w:szCs w:val="20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1a540a"/>
    <w:rPr>
      <w:rFonts w:ascii="Times New Roman" w:hAnsi="Times New Roman" w:eastAsia="Times New Roman" w:cs="Times New Roman"/>
      <w:color w:val="000000"/>
      <w:kern w:val="0"/>
      <w:sz w:val="24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7067d8"/>
    <w:rPr>
      <w:rFonts w:ascii="Tahoma" w:hAnsi="Tahoma" w:eastAsia="Times New Roman" w:cs="Tahoma"/>
      <w:color w:val="000000"/>
      <w:kern w:val="0"/>
      <w:sz w:val="16"/>
      <w:szCs w:val="16"/>
      <w:lang w:eastAsia="ru-RU"/>
    </w:rPr>
  </w:style>
  <w:style w:type="character" w:styleId="CommentReference">
    <w:name w:val="Comment Reference"/>
    <w:basedOn w:val="DefaultParagraphFont"/>
    <w:uiPriority w:val="99"/>
    <w:unhideWhenUsed/>
    <w:qFormat/>
    <w:rsid w:val="00356c46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CommentText"/>
    <w:uiPriority w:val="99"/>
    <w:qFormat/>
    <w:rsid w:val="00356c46"/>
    <w:rPr>
      <w:rFonts w:ascii="Times New Roman" w:hAnsi="Times New Roman" w:eastAsia="Times New Roman" w:cs="Times New Roman"/>
      <w:color w:val="000000"/>
      <w:kern w:val="0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9656a6"/>
    <w:rPr>
      <w:rFonts w:ascii="Consolas" w:hAnsi="Consolas" w:eastAsia="Times New Roman" w:cs="Times New Roman"/>
      <w:color w:val="000000"/>
      <w:kern w:val="0"/>
      <w:sz w:val="20"/>
      <w:szCs w:val="20"/>
      <w:lang w:eastAsia="ru-RU"/>
    </w:rPr>
  </w:style>
  <w:style w:type="character" w:styleId="Style13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Style14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styleId="Style15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727a4f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727a4f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727a4f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link w:val="Style8"/>
    <w:uiPriority w:val="34"/>
    <w:qFormat/>
    <w:rsid w:val="00727a4f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727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727a4f"/>
    <w:pPr>
      <w:tabs>
        <w:tab w:val="clear" w:pos="708"/>
        <w:tab w:val="left" w:pos="851" w:leader="none"/>
      </w:tabs>
      <w:spacing w:lineRule="auto" w:line="360" w:before="60" w:after="60"/>
      <w:ind w:firstLine="709"/>
      <w:jc w:val="both"/>
    </w:pPr>
    <w:rPr/>
  </w:style>
  <w:style w:type="paragraph" w:styleId="12" w:customStyle="1">
    <w:name w:val="Знак сноски1"/>
    <w:basedOn w:val="Normal"/>
    <w:qFormat/>
    <w:rsid w:val="00727a4f"/>
    <w:pPr>
      <w:spacing w:lineRule="auto" w:line="264" w:before="0" w:after="160"/>
    </w:pPr>
    <w:rPr>
      <w:rFonts w:ascii="Calibri" w:hAnsi="Calibri" w:asciiTheme="minorHAnsi" w:hAnsiTheme="minorHAnsi"/>
      <w:sz w:val="22"/>
      <w:vertAlign w:val="superscript"/>
    </w:rPr>
  </w:style>
  <w:style w:type="paragraph" w:styleId="Footnote" w:customStyle="1">
    <w:name w:val="Footnote"/>
    <w:basedOn w:val="Normal"/>
    <w:qFormat/>
    <w:rsid w:val="00727a4f"/>
    <w:pPr/>
    <w:rPr>
      <w:sz w:val="20"/>
    </w:rPr>
  </w:style>
  <w:style w:type="paragraph" w:styleId="Style18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link w:val="Style9"/>
    <w:qFormat/>
    <w:rsid w:val="00727a4f"/>
    <w:pPr>
      <w:tabs>
        <w:tab w:val="clear" w:pos="708"/>
        <w:tab w:val="center" w:pos="4677" w:leader="none"/>
        <w:tab w:val="right" w:pos="9355" w:leader="none"/>
      </w:tabs>
    </w:pPr>
    <w:rPr>
      <w:sz w:val="20"/>
    </w:rPr>
  </w:style>
  <w:style w:type="paragraph" w:styleId="Footer">
    <w:name w:val="footer"/>
    <w:basedOn w:val="Normal"/>
    <w:link w:val="Style10"/>
    <w:uiPriority w:val="99"/>
    <w:unhideWhenUsed/>
    <w:rsid w:val="001a540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7067d8"/>
    <w:pPr/>
    <w:rPr>
      <w:rFonts w:ascii="Tahoma" w:hAnsi="Tahoma" w:cs="Tahoma"/>
      <w:sz w:val="16"/>
      <w:szCs w:val="16"/>
    </w:rPr>
  </w:style>
  <w:style w:type="paragraph" w:styleId="CommentText">
    <w:name w:val="Comment Text"/>
    <w:basedOn w:val="Normal"/>
    <w:link w:val="Style12"/>
    <w:uiPriority w:val="99"/>
    <w:unhideWhenUsed/>
    <w:qFormat/>
    <w:rsid w:val="00356c46"/>
    <w:pPr/>
    <w:rPr>
      <w:sz w:val="20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9656a6"/>
    <w:pPr/>
    <w:rPr>
      <w:rFonts w:ascii="Consolas" w:hAnsi="Consolas"/>
      <w:sz w:val="20"/>
    </w:rPr>
  </w:style>
  <w:style w:type="paragraph" w:styleId="Normal5ebd5728-ce07-411d-9dc7-195263085493" w:customStyle="1">
    <w:name w:val="Normal_5ebd5728-ce07-411d-9dc7-195263085493"/>
    <w:qFormat/>
    <w:rsid w:val="00b23f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3a6b1d95-f9b5-4f84-87b8-e0bf9c2aa8a2" w:customStyle="1">
    <w:name w:val="Normal_3a6b1d95-f9b5-4f84-87b8-e0bf9c2aa8a2"/>
    <w:qFormat/>
    <w:rsid w:val="00b23f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4f7442aa-49e4-4881-8f6e-0bcda56d6f18">
    <w:name w:val="Normal_4f7442aa-49e4-4881-8f6e-0bcda56d6f18"/>
    <w:link w:val="11"/>
    <w:qFormat/>
    <w:rsid w:val="005c413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a34a9fb1-329e-423b-b982-29da642b1820" w:customStyle="1">
    <w:name w:val="Normal_a34a9fb1-329e-423b-b982-29da642b1820"/>
    <w:qFormat/>
    <w:rsid w:val="00b23f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e5bc93f2-1718-4ada-aa8c-f7e2683f804b" w:customStyle="1">
    <w:name w:val="Normal_e5bc93f2-1718-4ada-aa8c-f7e2683f804b"/>
    <w:qFormat/>
    <w:rsid w:val="00b23f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Paragraph24773570-807f-48e4-9d7c-f1f46c5ae0f9">
    <w:name w:val="List Paragraph_24773570-807f-48e4-9d7c-f1f46c5ae0f9"/>
    <w:basedOn w:val="Normal4f7442aa-49e4-4881-8f6e-0bcda56d6f18"/>
    <w:link w:val="Style8"/>
    <w:uiPriority w:val="34"/>
    <w:qFormat/>
    <w:rsid w:val="00727a4f"/>
    <w:pPr>
      <w:spacing w:before="0" w:after="0"/>
      <w:ind w:left="720"/>
      <w:contextualSpacing/>
    </w:pPr>
    <w:rPr/>
  </w:style>
  <w:style w:type="paragraph" w:styleId="Footnote18517da1-0c47-4792-b11f-a3bdd4cf7532" w:customStyle="1">
    <w:name w:val="Footnote_18517da1-0c47-4792-b11f-a3bdd4cf7532"/>
    <w:basedOn w:val="Normal4f7442aa-49e4-4881-8f6e-0bcda56d6f18"/>
    <w:qFormat/>
    <w:rsid w:val="00727a4f"/>
    <w:pPr/>
    <w:rPr>
      <w:sz w:val="20"/>
    </w:rPr>
  </w:style>
  <w:style w:type="paragraph" w:styleId="Footnote390a9337-97ae-4baf-9d68-49e9bcedd4d6" w:customStyle="1">
    <w:name w:val="Footnote_390a9337-97ae-4baf-9d68-49e9bcedd4d6"/>
    <w:basedOn w:val="Normal42a85cbf-eba7-4bf7-aa60-396d973709bf"/>
    <w:qFormat/>
    <w:rsid w:val="00727a4f"/>
    <w:pPr/>
    <w:rPr>
      <w:sz w:val="20"/>
    </w:rPr>
  </w:style>
  <w:style w:type="paragraph" w:styleId="Normal42a85cbf-eba7-4bf7-aa60-396d973709bf">
    <w:name w:val="Normal_42a85cbf-eba7-4bf7-aa60-396d973709bf"/>
    <w:link w:val="11"/>
    <w:qFormat/>
    <w:rsid w:val="005c413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/>
    <w:rPr/>
  </w:style>
  <w:style w:type="paragraph" w:styleId="Normal98a0245a-fcd7-4c61-9d59-4ce3414be7df">
    <w:name w:val="Normal_98a0245a-fcd7-4c61-9d59-4ce3414be7df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181ce3dc-bb70-4ed9-99d7-8248ae041cff">
    <w:name w:val="Normal_181ce3dc-bb70-4ed9-99d7-8248ae041cff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2"/>
      <w:sz w:val="24"/>
      <w:szCs w:val="22"/>
      <w:lang w:val="ru-RU" w:eastAsia="ru-RU" w:bidi="ar-SA"/>
    </w:rPr>
  </w:style>
  <w:style w:type="paragraph" w:styleId="Normal1d3dd4e2-7ce8-4046-bb1a-b4990b369ce6">
    <w:name w:val="Normal_1d3dd4e2-7ce8-4046-bb1a-b4990b369ce6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Footnote1a7a8df9-334c-4aaf-a8a2-885d76553538">
    <w:name w:val="Footnote_1a7a8df9-334c-4aaf-a8a2-885d76553538"/>
    <w:basedOn w:val="Normal1d3dd4e2-7ce8-4046-bb1a-b4990b369ce6"/>
    <w:qFormat/>
    <w:pPr/>
    <w:rPr>
      <w:sz w:val="20"/>
    </w:rPr>
  </w:style>
  <w:style w:type="paragraph" w:styleId="ListParagraphce1fd3f6-d7f7-4359-a422-aeb1142ff497">
    <w:name w:val="List Paragraph_ce1fd3f6-d7f7-4359-a422-aeb1142ff497"/>
    <w:basedOn w:val="Normal98a0245a-fcd7-4c61-9d59-4ce3414be7df"/>
    <w:next w:val="ListParagraph"/>
    <w:qFormat/>
    <w:pPr>
      <w:keepLines/>
      <w:spacing w:lineRule="auto" w:line="240" w:before="0" w:after="0"/>
      <w:ind w:left="0"/>
      <w:contextualSpacing/>
    </w:pPr>
    <w:rPr/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Arial" w:hAnsi="Arial" w:eastAsia="Noto Serif CJK SC" w:cs="Arial"/>
      <w:b/>
      <w:color w:val="auto"/>
      <w:kern w:val="0"/>
      <w:sz w:val="24"/>
      <w:szCs w:val="20"/>
      <w:lang w:val="ru-RU" w:eastAsia="ru-RU" w:bidi="ar-SA"/>
    </w:rPr>
  </w:style>
  <w:style w:type="paragraph" w:styleId="user5">
    <w:name w:val="Содержимое врезки (user)"/>
    <w:basedOn w:val="Normal"/>
    <w:qFormat/>
    <w:pPr/>
    <w:rPr/>
  </w:style>
  <w:style w:type="paragraph" w:styleId="user6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7">
    <w:name w:val="Заголовок таблицы (user)"/>
    <w:basedOn w:val="user6"/>
    <w:qFormat/>
    <w:pPr>
      <w:suppressLineNumbers/>
      <w:jc w:val="center"/>
    </w:pPr>
    <w:rPr>
      <w:b/>
      <w:bCs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Courier New" w:hAnsi="Courier New" w:eastAsia="Calibri" w:cs="Courier New"/>
      <w:color w:val="auto"/>
      <w:kern w:val="2"/>
      <w:sz w:val="20"/>
      <w:szCs w:val="22"/>
      <w:lang w:val="ru-RU" w:eastAsia="ru-RU" w:bidi="ar-SA"/>
    </w:rPr>
  </w:style>
  <w:style w:type="numbering" w:styleId="Style23">
    <w:name w:val="Без списка"/>
    <w:uiPriority w:val="99"/>
    <w:semiHidden/>
    <w:unhideWhenUsed/>
    <w:qFormat/>
  </w:style>
  <w:style w:type="table" w:default="1" w:styleId="NormalTab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39"/>
    <w:rsid w:val="00727a4f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_9dc98fab-4e11-49ad-819d-88543cbf5bae">
    <w:name w:val="Table Grid_9dc98fab-4e11-49ad-819d-88543cbf5bae"/>
    <w:basedOn w:val="NormalTable"/>
    <w:uiPriority w:val="39"/>
    <w:rsid w:val="00b23f96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_d3d4c4a5-90fc-4d7f-879a-a0a4d6bb87ca">
    <w:name w:val="Table Grid_d3d4c4a5-90fc-4d7f-879a-a0a4d6bb87ca"/>
    <w:basedOn w:val="NormalTable"/>
    <w:uiPriority w:val="39"/>
    <w:rsid w:val="00727a4f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_7f1bd7b3-57ea-468d-ad6e-f5e165d1f1ff">
    <w:name w:val="Normal Table_7f1bd7b3-57ea-468d-ad6e-f5e165d1f1ff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_82e6c115-100e-4ea3-a02d-fda82cf49115">
    <w:name w:val="Table Grid_82e6c115-100e-4ea3-a02d-fda82cf49115"/>
    <w:basedOn w:val="NormalTable"/>
    <w:uiPriority w:val="39"/>
    <w:rsid w:val="00b23f96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7">
    <w:name w:val="Table Grid"/>
    <w:basedOn w:val="a1"/>
    <w:uiPriority w:val="99"/>
    <w:rsid w:val="008c7d23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99"/>
    <w:rsid w:val="008c7d23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99"/>
    <w:rsid w:val="008c7d23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99"/>
    <w:rsid w:val="008c7d23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99"/>
    <w:rsid w:val="008c7d23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523235&amp;date=13.04.2026&amp;dst=345&amp;field=134" TargetMode="External"/><Relationship Id="rId4" Type="http://schemas.openxmlformats.org/officeDocument/2006/relationships/hyperlink" Target="https://login.consultant.ru/link/?req=doc&amp;base=LAW&amp;n=523719&amp;date=13.04.2026&amp;dst=4&amp;field=134" TargetMode="External"/><Relationship Id="rId5" Type="http://schemas.openxmlformats.org/officeDocument/2006/relationships/hyperlink" Target="https://login.consultant.ru/link/?req=doc&amp;base=RLAW284&amp;n=161734&amp;date=13.04.2026" TargetMode="External"/><Relationship Id="rId6" Type="http://schemas.openxmlformats.org/officeDocument/2006/relationships/hyperlink" Target="https://login.consultant.ru/link/?req=doc&amp;base=RLAW284&amp;n=154797&amp;date=13.04.2026&amp;dst=100007&amp;field=134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notes" Target="footnotes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1733</TotalTime>
  <Application>LibreOffice/25.2.6.2$Linux_X86_64 LibreOffice_project/520$Build-2</Application>
  <AppVersion>15.0000</AppVersion>
  <Pages>21</Pages>
  <Words>3861</Words>
  <Characters>29294</Characters>
  <CharactersWithSpaces>33091</CharactersWithSpaces>
  <Paragraphs>355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2026-01-20T10:54:00Z</dcterms:created>
  <dc:creator>admin</dc:creator>
  <dc:description/>
  <dc:language>ru-RU</dc:language>
  <cp:lastModifiedBy/>
  <cp:lastPrinted>2026-08-04T11:33:07Z</cp:lastPrinted>
  <dcterms:modified xsi:type="dcterms:W3CDTF">2026-08-05T09:41:34Z</dcterms:modified>
  <cp:revision>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